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972F0">
      <w:pPr>
        <w:pStyle w:val="8"/>
        <w:jc w:val="center"/>
        <w:outlineLvl w:val="1"/>
        <w:rPr>
          <w:rFonts w:hint="default"/>
        </w:rPr>
      </w:pPr>
      <w:r>
        <w:rPr>
          <w:rFonts w:ascii="仿宋_GB2312" w:hAnsi="仿宋_GB2312" w:eastAsia="仿宋_GB2312" w:cs="仿宋_GB2312"/>
          <w:b/>
          <w:sz w:val="36"/>
        </w:rPr>
        <w:t>第三章 采购需求</w:t>
      </w:r>
    </w:p>
    <w:p w14:paraId="11EB212E">
      <w:pPr>
        <w:pStyle w:val="3"/>
        <w:numPr>
          <w:ilvl w:val="0"/>
          <w:numId w:val="0"/>
        </w:numPr>
        <w:rPr>
          <w:rFonts w:ascii="Times New Roman" w:hAnsi="Times New Roman" w:cs="Times New Roman"/>
          <w:b w:val="0"/>
          <w:bCs w:val="0"/>
          <w:sz w:val="28"/>
          <w:szCs w:val="28"/>
        </w:rPr>
      </w:pPr>
      <w:bookmarkStart w:id="0" w:name="_Toc7874"/>
      <w:r>
        <w:rPr>
          <w:rFonts w:hint="eastAsia" w:ascii="Times New Roman" w:hAnsi="Times New Roman" w:eastAsia="黑体" w:cs="Times New Roman"/>
          <w:b w:val="0"/>
          <w:bCs w:val="0"/>
          <w:kern w:val="2"/>
          <w:sz w:val="28"/>
          <w:szCs w:val="28"/>
          <w:lang w:val="en-US" w:eastAsia="zh-CN" w:bidi="ar-SA"/>
        </w:rPr>
        <w:t>一、</w:t>
      </w:r>
      <w:r>
        <w:rPr>
          <w:rFonts w:hint="eastAsia" w:ascii="Times New Roman" w:hAnsi="Times New Roman" w:cs="Times New Roman"/>
          <w:b w:val="0"/>
          <w:bCs w:val="0"/>
          <w:sz w:val="28"/>
          <w:szCs w:val="28"/>
        </w:rPr>
        <w:t>采购需求一览表</w:t>
      </w:r>
      <w:bookmarkEnd w:id="0"/>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281"/>
        <w:gridCol w:w="562"/>
        <w:gridCol w:w="563"/>
        <w:gridCol w:w="1634"/>
        <w:gridCol w:w="1156"/>
        <w:gridCol w:w="1655"/>
        <w:gridCol w:w="1109"/>
      </w:tblGrid>
      <w:tr w14:paraId="1D48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0" w:type="auto"/>
            <w:vAlign w:val="center"/>
          </w:tcPr>
          <w:p w14:paraId="1DB7C7EC">
            <w:pPr>
              <w:jc w:val="center"/>
              <w:textAlignment w:val="center"/>
              <w:rPr>
                <w:rFonts w:hint="eastAsia" w:ascii="宋体" w:hAnsi="宋体" w:eastAsia="宋体" w:cs="宋体"/>
                <w:bCs/>
                <w:sz w:val="21"/>
                <w:szCs w:val="21"/>
              </w:rPr>
            </w:pPr>
            <w:r>
              <w:rPr>
                <w:rFonts w:hint="eastAsia" w:ascii="宋体" w:hAnsi="宋体" w:eastAsia="宋体" w:cs="宋体"/>
                <w:bCs/>
                <w:sz w:val="21"/>
                <w:szCs w:val="21"/>
              </w:rPr>
              <w:t>序号</w:t>
            </w:r>
          </w:p>
        </w:tc>
        <w:tc>
          <w:tcPr>
            <w:tcW w:w="0" w:type="auto"/>
            <w:vAlign w:val="center"/>
          </w:tcPr>
          <w:p w14:paraId="2E7D59E4">
            <w:pPr>
              <w:jc w:val="center"/>
              <w:textAlignment w:val="center"/>
              <w:rPr>
                <w:rFonts w:hint="eastAsia" w:ascii="宋体" w:hAnsi="宋体" w:eastAsia="宋体" w:cs="宋体"/>
                <w:bCs/>
                <w:sz w:val="21"/>
                <w:szCs w:val="21"/>
              </w:rPr>
            </w:pPr>
            <w:r>
              <w:rPr>
                <w:rFonts w:hint="eastAsia" w:ascii="宋体" w:hAnsi="宋体" w:eastAsia="宋体" w:cs="宋体"/>
                <w:bCs/>
                <w:sz w:val="21"/>
                <w:szCs w:val="21"/>
              </w:rPr>
              <w:t>采购品目名称</w:t>
            </w:r>
          </w:p>
        </w:tc>
        <w:tc>
          <w:tcPr>
            <w:tcW w:w="0" w:type="auto"/>
            <w:vAlign w:val="center"/>
          </w:tcPr>
          <w:p w14:paraId="19EE394D">
            <w:pPr>
              <w:jc w:val="center"/>
              <w:textAlignment w:val="center"/>
              <w:rPr>
                <w:rFonts w:hint="eastAsia" w:ascii="宋体" w:hAnsi="宋体" w:eastAsia="宋体" w:cs="宋体"/>
                <w:bCs/>
                <w:sz w:val="21"/>
                <w:szCs w:val="21"/>
              </w:rPr>
            </w:pPr>
            <w:r>
              <w:rPr>
                <w:rFonts w:hint="eastAsia" w:ascii="宋体" w:hAnsi="宋体" w:eastAsia="宋体" w:cs="宋体"/>
                <w:bCs/>
                <w:sz w:val="21"/>
                <w:szCs w:val="21"/>
              </w:rPr>
              <w:t>单位</w:t>
            </w:r>
          </w:p>
        </w:tc>
        <w:tc>
          <w:tcPr>
            <w:tcW w:w="0" w:type="auto"/>
            <w:vAlign w:val="center"/>
          </w:tcPr>
          <w:p w14:paraId="6318FEA9">
            <w:pPr>
              <w:jc w:val="center"/>
              <w:textAlignment w:val="center"/>
              <w:rPr>
                <w:rFonts w:hint="eastAsia" w:ascii="宋体" w:hAnsi="宋体" w:eastAsia="宋体" w:cs="宋体"/>
                <w:bCs/>
                <w:sz w:val="21"/>
                <w:szCs w:val="21"/>
              </w:rPr>
            </w:pPr>
            <w:r>
              <w:rPr>
                <w:rFonts w:hint="eastAsia" w:ascii="宋体" w:hAnsi="宋体" w:eastAsia="宋体" w:cs="宋体"/>
                <w:bCs/>
                <w:sz w:val="21"/>
                <w:szCs w:val="21"/>
              </w:rPr>
              <w:t>数量</w:t>
            </w:r>
          </w:p>
        </w:tc>
        <w:tc>
          <w:tcPr>
            <w:tcW w:w="0" w:type="auto"/>
            <w:vAlign w:val="center"/>
          </w:tcPr>
          <w:p w14:paraId="50EE825E">
            <w:pPr>
              <w:jc w:val="center"/>
              <w:textAlignment w:val="center"/>
              <w:rPr>
                <w:rFonts w:hint="eastAsia" w:ascii="宋体" w:hAnsi="宋体" w:eastAsia="宋体" w:cs="宋体"/>
                <w:bCs/>
                <w:sz w:val="21"/>
                <w:szCs w:val="21"/>
              </w:rPr>
            </w:pPr>
            <w:r>
              <w:rPr>
                <w:rFonts w:hint="eastAsia" w:ascii="宋体" w:hAnsi="宋体" w:eastAsia="宋体" w:cs="宋体"/>
                <w:bCs/>
                <w:sz w:val="21"/>
                <w:szCs w:val="21"/>
              </w:rPr>
              <w:t>预算单价</w:t>
            </w:r>
          </w:p>
          <w:p w14:paraId="690C3C58">
            <w:pPr>
              <w:jc w:val="center"/>
              <w:textAlignment w:val="center"/>
              <w:rPr>
                <w:rFonts w:hint="eastAsia" w:ascii="宋体" w:hAnsi="宋体" w:eastAsia="宋体" w:cs="宋体"/>
                <w:bCs/>
                <w:sz w:val="21"/>
                <w:szCs w:val="21"/>
              </w:rPr>
            </w:pPr>
            <w:r>
              <w:rPr>
                <w:rFonts w:hint="eastAsia" w:ascii="宋体" w:hAnsi="宋体" w:eastAsia="宋体" w:cs="宋体"/>
                <w:bCs/>
                <w:sz w:val="21"/>
                <w:szCs w:val="21"/>
              </w:rPr>
              <w:t>（单价限价）（元）</w:t>
            </w:r>
          </w:p>
        </w:tc>
        <w:tc>
          <w:tcPr>
            <w:tcW w:w="0" w:type="auto"/>
            <w:vAlign w:val="center"/>
          </w:tcPr>
          <w:p w14:paraId="1573E0E6">
            <w:pPr>
              <w:textAlignment w:val="center"/>
              <w:rPr>
                <w:rFonts w:hint="eastAsia" w:ascii="宋体" w:hAnsi="宋体" w:eastAsia="宋体" w:cs="宋体"/>
                <w:bCs/>
                <w:sz w:val="21"/>
                <w:szCs w:val="21"/>
              </w:rPr>
            </w:pPr>
            <w:r>
              <w:rPr>
                <w:rFonts w:hint="eastAsia" w:ascii="宋体" w:hAnsi="宋体" w:eastAsia="宋体" w:cs="宋体"/>
                <w:bCs/>
                <w:sz w:val="21"/>
                <w:szCs w:val="21"/>
              </w:rPr>
              <w:t>总价（元）</w:t>
            </w:r>
          </w:p>
        </w:tc>
        <w:tc>
          <w:tcPr>
            <w:tcW w:w="0" w:type="auto"/>
            <w:vAlign w:val="center"/>
          </w:tcPr>
          <w:p w14:paraId="1987A4BC">
            <w:pPr>
              <w:jc w:val="center"/>
              <w:textAlignment w:val="center"/>
              <w:rPr>
                <w:rFonts w:hint="eastAsia" w:ascii="宋体" w:hAnsi="宋体" w:eastAsia="宋体" w:cs="宋体"/>
                <w:bCs/>
                <w:sz w:val="21"/>
                <w:szCs w:val="21"/>
              </w:rPr>
            </w:pPr>
            <w:r>
              <w:rPr>
                <w:rFonts w:hint="eastAsia" w:ascii="宋体" w:hAnsi="宋体" w:eastAsia="宋体" w:cs="宋体"/>
                <w:bCs/>
                <w:sz w:val="21"/>
                <w:szCs w:val="21"/>
              </w:rPr>
              <w:t>是否允许进口产品投标</w:t>
            </w:r>
          </w:p>
        </w:tc>
        <w:tc>
          <w:tcPr>
            <w:tcW w:w="0" w:type="auto"/>
            <w:vAlign w:val="center"/>
          </w:tcPr>
          <w:p w14:paraId="16357EA8">
            <w:pPr>
              <w:jc w:val="center"/>
              <w:textAlignment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是否核心产品</w:t>
            </w:r>
          </w:p>
        </w:tc>
      </w:tr>
      <w:tr w14:paraId="449B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0" w:type="auto"/>
            <w:vAlign w:val="center"/>
          </w:tcPr>
          <w:p w14:paraId="079094C7">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1</w:t>
            </w:r>
          </w:p>
        </w:tc>
        <w:tc>
          <w:tcPr>
            <w:tcW w:w="0" w:type="auto"/>
            <w:vAlign w:val="center"/>
          </w:tcPr>
          <w:p w14:paraId="2AD04A7B">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highlight w:val="none"/>
              </w:rPr>
              <w:t>四路X86服务器</w:t>
            </w:r>
          </w:p>
        </w:tc>
        <w:tc>
          <w:tcPr>
            <w:tcW w:w="0" w:type="auto"/>
            <w:vAlign w:val="center"/>
          </w:tcPr>
          <w:p w14:paraId="4AD19ABA">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122BBAE1">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1</w:t>
            </w:r>
          </w:p>
        </w:tc>
        <w:tc>
          <w:tcPr>
            <w:tcW w:w="0" w:type="auto"/>
            <w:vAlign w:val="center"/>
          </w:tcPr>
          <w:p w14:paraId="12638DB7">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170985</w:t>
            </w:r>
          </w:p>
        </w:tc>
        <w:tc>
          <w:tcPr>
            <w:tcW w:w="0" w:type="auto"/>
            <w:vAlign w:val="center"/>
          </w:tcPr>
          <w:p w14:paraId="44816554">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170985</w:t>
            </w:r>
          </w:p>
        </w:tc>
        <w:tc>
          <w:tcPr>
            <w:tcW w:w="0" w:type="auto"/>
            <w:vAlign w:val="center"/>
          </w:tcPr>
          <w:p w14:paraId="303513A2">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6DDA09DF">
            <w:pPr>
              <w:widowControl/>
              <w:jc w:val="center"/>
              <w:textAlignment w:val="center"/>
              <w:rPr>
                <w:rFonts w:hint="eastAsia" w:ascii="宋体" w:hAnsi="宋体" w:eastAsia="宋体" w:cs="宋体"/>
                <w:bCs/>
                <w:sz w:val="21"/>
                <w:szCs w:val="21"/>
              </w:rPr>
            </w:pPr>
          </w:p>
        </w:tc>
      </w:tr>
      <w:tr w14:paraId="6D33F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6A7CF579">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2</w:t>
            </w:r>
          </w:p>
        </w:tc>
        <w:tc>
          <w:tcPr>
            <w:tcW w:w="0" w:type="auto"/>
            <w:vAlign w:val="center"/>
          </w:tcPr>
          <w:p w14:paraId="297439E8">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集中式存储扩容</w:t>
            </w:r>
          </w:p>
        </w:tc>
        <w:tc>
          <w:tcPr>
            <w:tcW w:w="0" w:type="auto"/>
            <w:vAlign w:val="center"/>
          </w:tcPr>
          <w:p w14:paraId="0B2B6D9C">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6AF90F44">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1</w:t>
            </w:r>
          </w:p>
        </w:tc>
        <w:tc>
          <w:tcPr>
            <w:tcW w:w="0" w:type="auto"/>
            <w:vAlign w:val="center"/>
          </w:tcPr>
          <w:p w14:paraId="7CC7CFE6">
            <w:pPr>
              <w:widowControl/>
              <w:jc w:val="center"/>
              <w:textAlignment w:val="center"/>
              <w:rPr>
                <w:rFonts w:hint="eastAsia" w:ascii="宋体" w:hAnsi="宋体" w:eastAsia="宋体" w:cs="宋体"/>
                <w:bCs/>
                <w:sz w:val="21"/>
                <w:szCs w:val="21"/>
                <w:lang w:val="en-US" w:eastAsia="zh-CN"/>
              </w:rPr>
            </w:pPr>
            <w:r>
              <w:rPr>
                <w:rFonts w:hint="eastAsia" w:ascii="宋体" w:hAnsi="宋体" w:eastAsia="宋体" w:cs="宋体"/>
                <w:bCs/>
                <w:sz w:val="21"/>
                <w:szCs w:val="21"/>
              </w:rPr>
              <w:t>108500</w:t>
            </w:r>
            <w:r>
              <w:rPr>
                <w:rFonts w:hint="eastAsia" w:ascii="宋体" w:hAnsi="宋体" w:eastAsia="宋体" w:cs="宋体"/>
                <w:bCs/>
                <w:sz w:val="21"/>
                <w:szCs w:val="21"/>
                <w:lang w:val="en-US" w:eastAsia="zh-CN"/>
              </w:rPr>
              <w:t>0</w:t>
            </w:r>
          </w:p>
        </w:tc>
        <w:tc>
          <w:tcPr>
            <w:tcW w:w="0" w:type="auto"/>
            <w:vAlign w:val="center"/>
          </w:tcPr>
          <w:p w14:paraId="375F5BF8">
            <w:pPr>
              <w:widowControl/>
              <w:jc w:val="center"/>
              <w:textAlignment w:val="center"/>
              <w:rPr>
                <w:rFonts w:hint="eastAsia" w:ascii="宋体" w:hAnsi="宋体" w:eastAsia="宋体" w:cs="宋体"/>
                <w:bCs/>
                <w:sz w:val="21"/>
                <w:szCs w:val="21"/>
                <w:lang w:val="en-US" w:eastAsia="zh-CN"/>
              </w:rPr>
            </w:pPr>
            <w:r>
              <w:rPr>
                <w:rFonts w:hint="eastAsia" w:ascii="宋体" w:hAnsi="宋体" w:eastAsia="宋体" w:cs="宋体"/>
                <w:bCs/>
                <w:sz w:val="21"/>
                <w:szCs w:val="21"/>
              </w:rPr>
              <w:t>108500</w:t>
            </w:r>
            <w:r>
              <w:rPr>
                <w:rFonts w:hint="eastAsia" w:ascii="宋体" w:hAnsi="宋体" w:eastAsia="宋体" w:cs="宋体"/>
                <w:bCs/>
                <w:sz w:val="21"/>
                <w:szCs w:val="21"/>
                <w:lang w:val="en-US" w:eastAsia="zh-CN"/>
              </w:rPr>
              <w:t>0</w:t>
            </w:r>
          </w:p>
        </w:tc>
        <w:tc>
          <w:tcPr>
            <w:tcW w:w="0" w:type="auto"/>
            <w:vAlign w:val="center"/>
          </w:tcPr>
          <w:p w14:paraId="1EBBBF51">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19A7BBBE">
            <w:pPr>
              <w:widowControl/>
              <w:jc w:val="center"/>
              <w:textAlignment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是</w:t>
            </w:r>
          </w:p>
        </w:tc>
      </w:tr>
      <w:tr w14:paraId="1CEF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59DBBEB6">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3</w:t>
            </w:r>
          </w:p>
        </w:tc>
        <w:tc>
          <w:tcPr>
            <w:tcW w:w="0" w:type="auto"/>
            <w:vAlign w:val="center"/>
          </w:tcPr>
          <w:p w14:paraId="6FDCCC32">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光纤交换机</w:t>
            </w:r>
          </w:p>
        </w:tc>
        <w:tc>
          <w:tcPr>
            <w:tcW w:w="0" w:type="auto"/>
            <w:vAlign w:val="center"/>
          </w:tcPr>
          <w:p w14:paraId="425EA464">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650EF091">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4</w:t>
            </w:r>
          </w:p>
        </w:tc>
        <w:tc>
          <w:tcPr>
            <w:tcW w:w="0" w:type="auto"/>
            <w:vAlign w:val="center"/>
          </w:tcPr>
          <w:p w14:paraId="6BA6C822">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102900</w:t>
            </w:r>
          </w:p>
        </w:tc>
        <w:tc>
          <w:tcPr>
            <w:tcW w:w="0" w:type="auto"/>
            <w:vAlign w:val="center"/>
          </w:tcPr>
          <w:p w14:paraId="25FD1BFC">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411600</w:t>
            </w:r>
          </w:p>
        </w:tc>
        <w:tc>
          <w:tcPr>
            <w:tcW w:w="0" w:type="auto"/>
            <w:vAlign w:val="center"/>
          </w:tcPr>
          <w:p w14:paraId="3BAEF8E4">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46746FA7">
            <w:pPr>
              <w:widowControl/>
              <w:jc w:val="center"/>
              <w:textAlignment w:val="center"/>
              <w:rPr>
                <w:rFonts w:hint="eastAsia" w:ascii="宋体" w:hAnsi="宋体" w:eastAsia="宋体" w:cs="宋体"/>
                <w:bCs/>
                <w:sz w:val="21"/>
                <w:szCs w:val="21"/>
              </w:rPr>
            </w:pPr>
          </w:p>
        </w:tc>
      </w:tr>
      <w:tr w14:paraId="2F132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0EAC730B">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4</w:t>
            </w:r>
          </w:p>
        </w:tc>
        <w:tc>
          <w:tcPr>
            <w:tcW w:w="0" w:type="auto"/>
            <w:vAlign w:val="center"/>
          </w:tcPr>
          <w:p w14:paraId="3E95A543">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超融</w:t>
            </w:r>
            <w:r>
              <w:rPr>
                <w:rFonts w:hint="eastAsia" w:ascii="宋体" w:hAnsi="宋体" w:eastAsia="宋体" w:cs="宋体"/>
                <w:bCs/>
                <w:color w:val="000000"/>
                <w:kern w:val="0"/>
                <w:sz w:val="21"/>
                <w:szCs w:val="21"/>
                <w:highlight w:val="none"/>
              </w:rPr>
              <w:t>合服务器</w:t>
            </w:r>
          </w:p>
        </w:tc>
        <w:tc>
          <w:tcPr>
            <w:tcW w:w="0" w:type="auto"/>
            <w:vAlign w:val="center"/>
          </w:tcPr>
          <w:p w14:paraId="657CBA54">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24A77308">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3</w:t>
            </w:r>
          </w:p>
        </w:tc>
        <w:tc>
          <w:tcPr>
            <w:tcW w:w="0" w:type="auto"/>
            <w:vAlign w:val="center"/>
          </w:tcPr>
          <w:p w14:paraId="02BF756C">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176700</w:t>
            </w:r>
          </w:p>
        </w:tc>
        <w:tc>
          <w:tcPr>
            <w:tcW w:w="0" w:type="auto"/>
            <w:vAlign w:val="center"/>
          </w:tcPr>
          <w:p w14:paraId="539D95D5">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530100</w:t>
            </w:r>
          </w:p>
        </w:tc>
        <w:tc>
          <w:tcPr>
            <w:tcW w:w="0" w:type="auto"/>
            <w:vAlign w:val="center"/>
          </w:tcPr>
          <w:p w14:paraId="464C9C3A">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5E66301F">
            <w:pPr>
              <w:widowControl/>
              <w:jc w:val="center"/>
              <w:textAlignment w:val="center"/>
              <w:rPr>
                <w:rFonts w:hint="eastAsia" w:ascii="宋体" w:hAnsi="宋体" w:eastAsia="宋体" w:cs="宋体"/>
                <w:bCs/>
                <w:sz w:val="21"/>
                <w:szCs w:val="21"/>
              </w:rPr>
            </w:pPr>
          </w:p>
        </w:tc>
      </w:tr>
      <w:tr w14:paraId="380D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79A2698A">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5</w:t>
            </w:r>
          </w:p>
        </w:tc>
        <w:tc>
          <w:tcPr>
            <w:tcW w:w="0" w:type="auto"/>
            <w:vAlign w:val="center"/>
          </w:tcPr>
          <w:p w14:paraId="42DFF9F8">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服务器交换机</w:t>
            </w:r>
          </w:p>
        </w:tc>
        <w:tc>
          <w:tcPr>
            <w:tcW w:w="0" w:type="auto"/>
            <w:vAlign w:val="center"/>
          </w:tcPr>
          <w:p w14:paraId="4AE1639E">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3DD25DA3">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2</w:t>
            </w:r>
          </w:p>
        </w:tc>
        <w:tc>
          <w:tcPr>
            <w:tcW w:w="0" w:type="auto"/>
            <w:vAlign w:val="center"/>
          </w:tcPr>
          <w:p w14:paraId="470BE48B">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6100</w:t>
            </w:r>
          </w:p>
        </w:tc>
        <w:tc>
          <w:tcPr>
            <w:tcW w:w="0" w:type="auto"/>
            <w:vAlign w:val="center"/>
          </w:tcPr>
          <w:p w14:paraId="761BCADF">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122000</w:t>
            </w:r>
          </w:p>
        </w:tc>
        <w:tc>
          <w:tcPr>
            <w:tcW w:w="0" w:type="auto"/>
            <w:vAlign w:val="center"/>
          </w:tcPr>
          <w:p w14:paraId="2F8CEFD7">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7A64E5C0">
            <w:pPr>
              <w:widowControl/>
              <w:jc w:val="center"/>
              <w:textAlignment w:val="center"/>
              <w:rPr>
                <w:rFonts w:hint="eastAsia" w:ascii="宋体" w:hAnsi="宋体" w:eastAsia="宋体" w:cs="宋体"/>
                <w:bCs/>
                <w:sz w:val="21"/>
                <w:szCs w:val="21"/>
              </w:rPr>
            </w:pPr>
          </w:p>
        </w:tc>
      </w:tr>
      <w:tr w14:paraId="0EAC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64BBDFCE">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6</w:t>
            </w:r>
          </w:p>
        </w:tc>
        <w:tc>
          <w:tcPr>
            <w:tcW w:w="0" w:type="auto"/>
            <w:vAlign w:val="center"/>
          </w:tcPr>
          <w:p w14:paraId="60255C45">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存储交换机</w:t>
            </w:r>
          </w:p>
        </w:tc>
        <w:tc>
          <w:tcPr>
            <w:tcW w:w="0" w:type="auto"/>
            <w:vAlign w:val="center"/>
          </w:tcPr>
          <w:p w14:paraId="5814FD0A">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6DBEA9F9">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2</w:t>
            </w:r>
          </w:p>
        </w:tc>
        <w:tc>
          <w:tcPr>
            <w:tcW w:w="0" w:type="auto"/>
            <w:vAlign w:val="center"/>
          </w:tcPr>
          <w:p w14:paraId="6EFB673E">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40000</w:t>
            </w:r>
          </w:p>
        </w:tc>
        <w:tc>
          <w:tcPr>
            <w:tcW w:w="0" w:type="auto"/>
            <w:vAlign w:val="center"/>
          </w:tcPr>
          <w:p w14:paraId="7B6C8907">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80000</w:t>
            </w:r>
          </w:p>
        </w:tc>
        <w:tc>
          <w:tcPr>
            <w:tcW w:w="0" w:type="auto"/>
            <w:vAlign w:val="center"/>
          </w:tcPr>
          <w:p w14:paraId="74F09614">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2888F453">
            <w:pPr>
              <w:widowControl/>
              <w:jc w:val="center"/>
              <w:textAlignment w:val="center"/>
              <w:rPr>
                <w:rFonts w:hint="eastAsia" w:ascii="宋体" w:hAnsi="宋体" w:eastAsia="宋体" w:cs="宋体"/>
                <w:bCs/>
                <w:sz w:val="21"/>
                <w:szCs w:val="21"/>
              </w:rPr>
            </w:pPr>
          </w:p>
        </w:tc>
      </w:tr>
      <w:tr w14:paraId="5EC3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7BC5EF1F">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7</w:t>
            </w:r>
          </w:p>
        </w:tc>
        <w:tc>
          <w:tcPr>
            <w:tcW w:w="0" w:type="auto"/>
            <w:vAlign w:val="center"/>
          </w:tcPr>
          <w:p w14:paraId="3C2D4358">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管理交换机</w:t>
            </w:r>
          </w:p>
        </w:tc>
        <w:tc>
          <w:tcPr>
            <w:tcW w:w="0" w:type="auto"/>
            <w:vAlign w:val="center"/>
          </w:tcPr>
          <w:p w14:paraId="48AA561E">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25A4FB0E">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2</w:t>
            </w:r>
          </w:p>
        </w:tc>
        <w:tc>
          <w:tcPr>
            <w:tcW w:w="0" w:type="auto"/>
            <w:vAlign w:val="center"/>
          </w:tcPr>
          <w:p w14:paraId="71F010E7">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5000</w:t>
            </w:r>
          </w:p>
        </w:tc>
        <w:tc>
          <w:tcPr>
            <w:tcW w:w="0" w:type="auto"/>
            <w:vAlign w:val="center"/>
          </w:tcPr>
          <w:p w14:paraId="0CD7712A">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10000</w:t>
            </w:r>
          </w:p>
        </w:tc>
        <w:tc>
          <w:tcPr>
            <w:tcW w:w="0" w:type="auto"/>
            <w:vAlign w:val="center"/>
          </w:tcPr>
          <w:p w14:paraId="3964464E">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79B9C17C">
            <w:pPr>
              <w:widowControl/>
              <w:jc w:val="center"/>
              <w:textAlignment w:val="center"/>
              <w:rPr>
                <w:rFonts w:hint="eastAsia" w:ascii="宋体" w:hAnsi="宋体" w:eastAsia="宋体" w:cs="宋体"/>
                <w:bCs/>
                <w:sz w:val="21"/>
                <w:szCs w:val="21"/>
              </w:rPr>
            </w:pPr>
          </w:p>
        </w:tc>
      </w:tr>
      <w:tr w14:paraId="32F8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783C324F">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8</w:t>
            </w:r>
          </w:p>
        </w:tc>
        <w:tc>
          <w:tcPr>
            <w:tcW w:w="0" w:type="auto"/>
            <w:vAlign w:val="center"/>
          </w:tcPr>
          <w:p w14:paraId="47F6AB90">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内存扩容</w:t>
            </w:r>
          </w:p>
        </w:tc>
        <w:tc>
          <w:tcPr>
            <w:tcW w:w="0" w:type="auto"/>
            <w:vAlign w:val="center"/>
          </w:tcPr>
          <w:p w14:paraId="4C3BFA8F">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项</w:t>
            </w:r>
          </w:p>
        </w:tc>
        <w:tc>
          <w:tcPr>
            <w:tcW w:w="0" w:type="auto"/>
            <w:vAlign w:val="center"/>
          </w:tcPr>
          <w:p w14:paraId="2D516577">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1</w:t>
            </w:r>
          </w:p>
        </w:tc>
        <w:tc>
          <w:tcPr>
            <w:tcW w:w="0" w:type="auto"/>
            <w:vAlign w:val="center"/>
          </w:tcPr>
          <w:p w14:paraId="728A5A02">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162400</w:t>
            </w:r>
          </w:p>
        </w:tc>
        <w:tc>
          <w:tcPr>
            <w:tcW w:w="0" w:type="auto"/>
            <w:vAlign w:val="center"/>
          </w:tcPr>
          <w:p w14:paraId="11F934E0">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162400</w:t>
            </w:r>
          </w:p>
        </w:tc>
        <w:tc>
          <w:tcPr>
            <w:tcW w:w="0" w:type="auto"/>
            <w:vAlign w:val="center"/>
          </w:tcPr>
          <w:p w14:paraId="7C4AC323">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189756C8">
            <w:pPr>
              <w:widowControl/>
              <w:jc w:val="center"/>
              <w:textAlignment w:val="center"/>
              <w:rPr>
                <w:rFonts w:hint="eastAsia" w:ascii="宋体" w:hAnsi="宋体" w:eastAsia="宋体" w:cs="宋体"/>
                <w:bCs/>
                <w:sz w:val="21"/>
                <w:szCs w:val="21"/>
              </w:rPr>
            </w:pPr>
          </w:p>
        </w:tc>
      </w:tr>
      <w:tr w14:paraId="26B6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173C8B59">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9</w:t>
            </w:r>
          </w:p>
        </w:tc>
        <w:tc>
          <w:tcPr>
            <w:tcW w:w="0" w:type="auto"/>
            <w:vAlign w:val="center"/>
          </w:tcPr>
          <w:p w14:paraId="181C4963">
            <w:pPr>
              <w:widowControl/>
              <w:jc w:val="left"/>
              <w:rPr>
                <w:rFonts w:hint="eastAsia" w:ascii="宋体" w:hAnsi="宋体" w:eastAsia="宋体" w:cs="宋体"/>
                <w:bCs/>
                <w:sz w:val="21"/>
                <w:szCs w:val="21"/>
              </w:rPr>
            </w:pPr>
            <w:r>
              <w:rPr>
                <w:rFonts w:hint="eastAsia" w:ascii="宋体" w:hAnsi="宋体" w:eastAsia="宋体" w:cs="宋体"/>
                <w:bCs/>
                <w:color w:val="000000"/>
                <w:kern w:val="0"/>
                <w:sz w:val="21"/>
                <w:szCs w:val="21"/>
              </w:rPr>
              <w:t>分布式存储</w:t>
            </w:r>
          </w:p>
        </w:tc>
        <w:tc>
          <w:tcPr>
            <w:tcW w:w="0" w:type="auto"/>
            <w:vAlign w:val="center"/>
          </w:tcPr>
          <w:p w14:paraId="4479EEBF">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台</w:t>
            </w:r>
          </w:p>
        </w:tc>
        <w:tc>
          <w:tcPr>
            <w:tcW w:w="0" w:type="auto"/>
            <w:vAlign w:val="center"/>
          </w:tcPr>
          <w:p w14:paraId="1EC71EA1">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kern w:val="0"/>
                <w:sz w:val="21"/>
                <w:szCs w:val="21"/>
                <w:lang w:bidi="ar"/>
              </w:rPr>
              <w:t>3</w:t>
            </w:r>
          </w:p>
        </w:tc>
        <w:tc>
          <w:tcPr>
            <w:tcW w:w="0" w:type="auto"/>
            <w:vAlign w:val="center"/>
          </w:tcPr>
          <w:p w14:paraId="70430014">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166430</w:t>
            </w:r>
          </w:p>
        </w:tc>
        <w:tc>
          <w:tcPr>
            <w:tcW w:w="0" w:type="auto"/>
            <w:vAlign w:val="center"/>
          </w:tcPr>
          <w:p w14:paraId="7DEF7119">
            <w:pPr>
              <w:widowControl/>
              <w:jc w:val="center"/>
              <w:textAlignment w:val="center"/>
              <w:rPr>
                <w:rFonts w:hint="eastAsia" w:ascii="宋体" w:hAnsi="宋体" w:eastAsia="宋体" w:cs="宋体"/>
                <w:bCs/>
                <w:sz w:val="21"/>
                <w:szCs w:val="21"/>
              </w:rPr>
            </w:pPr>
            <w:r>
              <w:rPr>
                <w:rFonts w:hint="eastAsia" w:ascii="宋体" w:hAnsi="宋体" w:eastAsia="宋体" w:cs="宋体"/>
                <w:bCs/>
                <w:sz w:val="21"/>
                <w:szCs w:val="21"/>
              </w:rPr>
              <w:t>499290</w:t>
            </w:r>
          </w:p>
        </w:tc>
        <w:tc>
          <w:tcPr>
            <w:tcW w:w="0" w:type="auto"/>
            <w:vAlign w:val="center"/>
          </w:tcPr>
          <w:p w14:paraId="4AEBB4BC">
            <w:pPr>
              <w:widowControl/>
              <w:jc w:val="center"/>
              <w:textAlignment w:val="center"/>
              <w:rPr>
                <w:rFonts w:hint="eastAsia" w:ascii="宋体" w:hAnsi="宋体" w:eastAsia="宋体" w:cs="宋体"/>
                <w:bCs/>
                <w:sz w:val="21"/>
                <w:szCs w:val="21"/>
              </w:rPr>
            </w:pPr>
            <w:r>
              <w:rPr>
                <w:rFonts w:hint="eastAsia" w:ascii="宋体" w:hAnsi="宋体" w:eastAsia="宋体" w:cs="宋体"/>
                <w:color w:val="000000"/>
                <w:sz w:val="21"/>
                <w:szCs w:val="21"/>
              </w:rPr>
              <w:t>否</w:t>
            </w:r>
          </w:p>
        </w:tc>
        <w:tc>
          <w:tcPr>
            <w:tcW w:w="0" w:type="auto"/>
            <w:vAlign w:val="center"/>
          </w:tcPr>
          <w:p w14:paraId="69B96398">
            <w:pPr>
              <w:widowControl/>
              <w:jc w:val="center"/>
              <w:textAlignment w:val="center"/>
              <w:rPr>
                <w:rFonts w:hint="eastAsia" w:ascii="宋体" w:hAnsi="宋体" w:eastAsia="宋体" w:cs="宋体"/>
                <w:bCs/>
                <w:sz w:val="21"/>
                <w:szCs w:val="21"/>
              </w:rPr>
            </w:pPr>
          </w:p>
        </w:tc>
      </w:tr>
    </w:tbl>
    <w:p w14:paraId="09702C23"/>
    <w:p w14:paraId="527ADDE8">
      <w:pPr>
        <w:rPr>
          <w:b/>
          <w:bCs/>
        </w:rPr>
      </w:pPr>
      <w:r>
        <w:rPr>
          <w:rFonts w:hint="eastAsia" w:ascii="Times New Roman" w:hAnsi="Times New Roman" w:cs="Times New Roman"/>
          <w:b/>
          <w:bCs/>
          <w:sz w:val="24"/>
        </w:rPr>
        <w:t>注：投标人报价如超过此单价限价的，将作为无效投标处理。</w:t>
      </w:r>
    </w:p>
    <w:p w14:paraId="4E9FDE47">
      <w:pPr>
        <w:pStyle w:val="3"/>
        <w:numPr>
          <w:ilvl w:val="0"/>
          <w:numId w:val="0"/>
        </w:numPr>
        <w:rPr>
          <w:rFonts w:ascii="Times New Roman" w:hAnsi="Times New Roman" w:cs="Times New Roman"/>
          <w:b w:val="0"/>
          <w:bCs w:val="0"/>
          <w:sz w:val="28"/>
          <w:szCs w:val="28"/>
        </w:rPr>
      </w:pPr>
      <w:bookmarkStart w:id="1" w:name="_Toc30821"/>
      <w:r>
        <w:rPr>
          <w:rFonts w:hint="eastAsia" w:ascii="Times New Roman" w:hAnsi="Times New Roman" w:eastAsia="黑体" w:cs="Times New Roman"/>
          <w:b w:val="0"/>
          <w:bCs w:val="0"/>
          <w:kern w:val="2"/>
          <w:sz w:val="28"/>
          <w:szCs w:val="28"/>
          <w:lang w:val="en-US" w:eastAsia="zh-CN" w:bidi="ar-SA"/>
        </w:rPr>
        <w:t>二、</w:t>
      </w:r>
      <w:r>
        <w:rPr>
          <w:rFonts w:hint="eastAsia" w:ascii="Times New Roman" w:hAnsi="Times New Roman" w:cs="Times New Roman"/>
          <w:b w:val="0"/>
          <w:bCs w:val="0"/>
          <w:sz w:val="28"/>
          <w:szCs w:val="28"/>
        </w:rPr>
        <w:t>技术参数、规格及要求(包括采购标的的功能标准、性能标准、材质标准）</w:t>
      </w:r>
      <w:bookmarkEnd w:id="1"/>
    </w:p>
    <w:tbl>
      <w:tblPr>
        <w:tblStyle w:val="5"/>
        <w:tblW w:w="9209" w:type="dxa"/>
        <w:tblInd w:w="113" w:type="dxa"/>
        <w:tblLayout w:type="autofit"/>
        <w:tblCellMar>
          <w:top w:w="0" w:type="dxa"/>
          <w:left w:w="108" w:type="dxa"/>
          <w:bottom w:w="0" w:type="dxa"/>
          <w:right w:w="108" w:type="dxa"/>
        </w:tblCellMar>
      </w:tblPr>
      <w:tblGrid>
        <w:gridCol w:w="704"/>
        <w:gridCol w:w="1216"/>
        <w:gridCol w:w="7289"/>
      </w:tblGrid>
      <w:tr w14:paraId="0AA5C6D7">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1AA648A3">
            <w:pPr>
              <w:widowControl/>
              <w:jc w:val="left"/>
              <w:rPr>
                <w:rFonts w:ascii="宋体" w:hAnsi="宋体"/>
                <w:b/>
                <w:bCs/>
                <w:kern w:val="0"/>
                <w:sz w:val="22"/>
                <w:szCs w:val="22"/>
              </w:rPr>
            </w:pPr>
            <w:bookmarkStart w:id="2" w:name="_bookmark32"/>
            <w:bookmarkEnd w:id="2"/>
            <w:bookmarkStart w:id="3" w:name="_bookmark31"/>
            <w:bookmarkEnd w:id="3"/>
            <w:bookmarkStart w:id="4" w:name="_bookmark38"/>
            <w:bookmarkEnd w:id="4"/>
            <w:bookmarkStart w:id="5" w:name="_bookmark34"/>
            <w:bookmarkEnd w:id="5"/>
            <w:bookmarkStart w:id="6" w:name="_bookmark36"/>
            <w:bookmarkEnd w:id="6"/>
            <w:r>
              <w:rPr>
                <w:rFonts w:hint="eastAsia" w:ascii="宋体" w:hAnsi="宋体"/>
                <w:b/>
                <w:bCs/>
                <w:kern w:val="0"/>
                <w:sz w:val="22"/>
                <w:szCs w:val="22"/>
              </w:rPr>
              <w:t>序号</w:t>
            </w:r>
          </w:p>
        </w:tc>
        <w:tc>
          <w:tcPr>
            <w:tcW w:w="1216" w:type="dxa"/>
            <w:tcBorders>
              <w:top w:val="single" w:color="000000" w:sz="4" w:space="0"/>
              <w:left w:val="single" w:color="000000" w:sz="4" w:space="0"/>
              <w:bottom w:val="single" w:color="000000" w:sz="4" w:space="0"/>
              <w:right w:val="single" w:color="000000" w:sz="4" w:space="0"/>
            </w:tcBorders>
            <w:vAlign w:val="center"/>
          </w:tcPr>
          <w:p w14:paraId="1182F493">
            <w:pPr>
              <w:widowControl/>
              <w:jc w:val="left"/>
              <w:rPr>
                <w:rFonts w:ascii="宋体" w:hAnsi="宋体"/>
                <w:b/>
                <w:bCs/>
                <w:kern w:val="0"/>
                <w:sz w:val="22"/>
                <w:szCs w:val="22"/>
              </w:rPr>
            </w:pPr>
            <w:r>
              <w:rPr>
                <w:rFonts w:hint="eastAsia" w:ascii="宋体" w:hAnsi="宋体"/>
                <w:b/>
                <w:bCs/>
                <w:kern w:val="0"/>
                <w:sz w:val="22"/>
                <w:szCs w:val="22"/>
              </w:rPr>
              <w:t>产品名</w:t>
            </w:r>
          </w:p>
        </w:tc>
        <w:tc>
          <w:tcPr>
            <w:tcW w:w="7289" w:type="dxa"/>
            <w:tcBorders>
              <w:top w:val="single" w:color="000000" w:sz="4" w:space="0"/>
              <w:left w:val="single" w:color="000000" w:sz="4" w:space="0"/>
              <w:bottom w:val="single" w:color="000000" w:sz="4" w:space="0"/>
              <w:right w:val="single" w:color="000000" w:sz="4" w:space="0"/>
            </w:tcBorders>
            <w:vAlign w:val="center"/>
          </w:tcPr>
          <w:p w14:paraId="243A27BD">
            <w:pPr>
              <w:widowControl/>
              <w:jc w:val="left"/>
              <w:rPr>
                <w:rFonts w:ascii="宋体" w:hAnsi="宋体"/>
                <w:b/>
                <w:bCs/>
                <w:kern w:val="0"/>
                <w:sz w:val="22"/>
                <w:szCs w:val="22"/>
              </w:rPr>
            </w:pPr>
            <w:r>
              <w:rPr>
                <w:rFonts w:hint="eastAsia" w:ascii="宋体" w:hAnsi="宋体"/>
                <w:b/>
                <w:bCs/>
                <w:kern w:val="0"/>
                <w:sz w:val="22"/>
                <w:szCs w:val="22"/>
              </w:rPr>
              <w:t>参数指标</w:t>
            </w:r>
          </w:p>
        </w:tc>
      </w:tr>
      <w:tr w14:paraId="51161FF7">
        <w:tblPrEx>
          <w:tblCellMar>
            <w:top w:w="0" w:type="dxa"/>
            <w:left w:w="108" w:type="dxa"/>
            <w:bottom w:w="0" w:type="dxa"/>
            <w:right w:w="108" w:type="dxa"/>
          </w:tblCellMar>
        </w:tblPrEx>
        <w:trPr>
          <w:trHeight w:val="1874"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1DBDA231">
            <w:pPr>
              <w:widowControl/>
              <w:jc w:val="left"/>
              <w:rPr>
                <w:rFonts w:ascii="宋体" w:hAnsi="宋体"/>
                <w:bCs/>
                <w:kern w:val="0"/>
                <w:sz w:val="22"/>
                <w:szCs w:val="22"/>
              </w:rPr>
            </w:pPr>
            <w:r>
              <w:rPr>
                <w:rFonts w:hint="eastAsia" w:ascii="宋体" w:hAnsi="宋体"/>
                <w:bCs/>
                <w:kern w:val="0"/>
                <w:sz w:val="22"/>
                <w:szCs w:val="22"/>
              </w:rPr>
              <w:t>1</w:t>
            </w:r>
          </w:p>
        </w:tc>
        <w:tc>
          <w:tcPr>
            <w:tcW w:w="1216" w:type="dxa"/>
            <w:tcBorders>
              <w:top w:val="single" w:color="000000" w:sz="4" w:space="0"/>
              <w:left w:val="single" w:color="000000" w:sz="4" w:space="0"/>
              <w:bottom w:val="single" w:color="000000" w:sz="4" w:space="0"/>
              <w:right w:val="single" w:color="000000" w:sz="4" w:space="0"/>
            </w:tcBorders>
            <w:vAlign w:val="center"/>
          </w:tcPr>
          <w:p w14:paraId="3A00ACEF">
            <w:pPr>
              <w:widowControl/>
              <w:jc w:val="left"/>
              <w:rPr>
                <w:rFonts w:ascii="宋体" w:hAnsi="宋体"/>
                <w:bCs/>
                <w:kern w:val="0"/>
                <w:sz w:val="22"/>
                <w:szCs w:val="22"/>
              </w:rPr>
            </w:pPr>
            <w:r>
              <w:rPr>
                <w:rFonts w:hint="eastAsia"/>
              </w:rPr>
              <w:t>国产品牌</w:t>
            </w:r>
            <w:r>
              <w:rPr>
                <w:rFonts w:hint="eastAsia" w:ascii="宋体" w:hAnsi="宋体"/>
                <w:bCs/>
                <w:kern w:val="0"/>
                <w:sz w:val="22"/>
                <w:szCs w:val="22"/>
              </w:rPr>
              <w:t>四路X86服务器</w:t>
            </w:r>
          </w:p>
        </w:tc>
        <w:tc>
          <w:tcPr>
            <w:tcW w:w="7289" w:type="dxa"/>
            <w:tcBorders>
              <w:top w:val="single" w:color="000000" w:sz="4" w:space="0"/>
              <w:left w:val="single" w:color="000000" w:sz="4" w:space="0"/>
              <w:bottom w:val="single" w:color="000000" w:sz="4" w:space="0"/>
              <w:right w:val="single" w:color="000000" w:sz="4" w:space="0"/>
            </w:tcBorders>
            <w:vAlign w:val="center"/>
          </w:tcPr>
          <w:p w14:paraId="170A82E7">
            <w:pPr>
              <w:widowControl/>
              <w:jc w:val="left"/>
              <w:rPr>
                <w:rFonts w:ascii="宋体" w:hAnsi="宋体"/>
                <w:bCs/>
                <w:kern w:val="0"/>
                <w:sz w:val="22"/>
                <w:szCs w:val="22"/>
              </w:rPr>
            </w:pPr>
            <w:r>
              <w:rPr>
                <w:rFonts w:hint="eastAsia" w:ascii="宋体" w:hAnsi="宋体"/>
                <w:bCs/>
                <w:kern w:val="0"/>
                <w:sz w:val="22"/>
                <w:szCs w:val="22"/>
              </w:rPr>
              <w:t>1.机架式服务器，标配原厂导轨；</w:t>
            </w:r>
          </w:p>
          <w:p w14:paraId="0BA582E0">
            <w:pPr>
              <w:widowControl/>
              <w:jc w:val="left"/>
              <w:rPr>
                <w:rFonts w:ascii="宋体" w:hAnsi="宋体"/>
                <w:bCs/>
                <w:kern w:val="0"/>
                <w:sz w:val="22"/>
                <w:szCs w:val="22"/>
              </w:rPr>
            </w:pPr>
            <w:r>
              <w:rPr>
                <w:rFonts w:hint="eastAsia" w:ascii="宋体" w:hAnsi="宋体"/>
                <w:bCs/>
                <w:kern w:val="0"/>
                <w:sz w:val="22"/>
                <w:szCs w:val="22"/>
              </w:rPr>
              <w:t>2.配置≥4颗CPU处理器，单颗CPU处理器：主频≥2.5GHz,核数≥18核；</w:t>
            </w:r>
          </w:p>
          <w:p w14:paraId="7549D68C">
            <w:pPr>
              <w:widowControl/>
              <w:jc w:val="left"/>
              <w:rPr>
                <w:rFonts w:ascii="宋体" w:hAnsi="宋体"/>
                <w:bCs/>
                <w:kern w:val="0"/>
                <w:sz w:val="22"/>
                <w:szCs w:val="22"/>
              </w:rPr>
            </w:pPr>
            <w:r>
              <w:rPr>
                <w:rFonts w:hint="eastAsia" w:ascii="宋体" w:hAnsi="宋体"/>
                <w:bCs/>
                <w:kern w:val="0"/>
                <w:sz w:val="22"/>
                <w:szCs w:val="22"/>
              </w:rPr>
              <w:t>3.配置≥16*64GB DDR4内存；</w:t>
            </w:r>
          </w:p>
          <w:p w14:paraId="43BD177C">
            <w:pPr>
              <w:widowControl/>
              <w:jc w:val="left"/>
              <w:rPr>
                <w:rFonts w:ascii="宋体" w:hAnsi="宋体"/>
                <w:bCs/>
                <w:kern w:val="0"/>
                <w:sz w:val="22"/>
                <w:szCs w:val="22"/>
              </w:rPr>
            </w:pPr>
            <w:r>
              <w:rPr>
                <w:rFonts w:hint="eastAsia" w:ascii="宋体" w:hAnsi="宋体"/>
                <w:bCs/>
                <w:kern w:val="0"/>
                <w:sz w:val="22"/>
                <w:szCs w:val="22"/>
              </w:rPr>
              <w:t>4.本次配置≥2块 960G SSD 硬盘；</w:t>
            </w:r>
          </w:p>
          <w:p w14:paraId="7FF83014">
            <w:pPr>
              <w:widowControl/>
              <w:jc w:val="left"/>
              <w:rPr>
                <w:rFonts w:ascii="宋体" w:hAnsi="宋体"/>
                <w:bCs/>
                <w:kern w:val="0"/>
                <w:sz w:val="22"/>
                <w:szCs w:val="22"/>
              </w:rPr>
            </w:pPr>
            <w:r>
              <w:rPr>
                <w:rFonts w:hint="eastAsia" w:ascii="宋体" w:hAnsi="宋体"/>
                <w:bCs/>
                <w:kern w:val="0"/>
                <w:sz w:val="22"/>
                <w:szCs w:val="22"/>
              </w:rPr>
              <w:t>5.配置≥1块 12Gbps SAS磁盘阵列控制器，2GB 缓存，含掉电保护模块；</w:t>
            </w:r>
          </w:p>
          <w:p w14:paraId="77AF1594">
            <w:pPr>
              <w:widowControl/>
              <w:jc w:val="left"/>
              <w:rPr>
                <w:rFonts w:ascii="宋体" w:hAnsi="宋体"/>
                <w:bCs/>
                <w:kern w:val="0"/>
                <w:sz w:val="22"/>
                <w:szCs w:val="22"/>
              </w:rPr>
            </w:pPr>
            <w:r>
              <w:rPr>
                <w:rFonts w:hint="eastAsia" w:ascii="宋体" w:hAnsi="宋体"/>
                <w:bCs/>
                <w:kern w:val="0"/>
                <w:sz w:val="22"/>
                <w:szCs w:val="22"/>
              </w:rPr>
              <w:t>6.冗余系统风扇，支持≥8个风扇；</w:t>
            </w:r>
          </w:p>
          <w:p w14:paraId="1BA4F4BF">
            <w:pPr>
              <w:widowControl/>
              <w:jc w:val="left"/>
              <w:rPr>
                <w:rFonts w:ascii="宋体" w:hAnsi="宋体"/>
                <w:bCs/>
                <w:kern w:val="0"/>
                <w:sz w:val="22"/>
                <w:szCs w:val="22"/>
              </w:rPr>
            </w:pPr>
            <w:r>
              <w:rPr>
                <w:rFonts w:hint="eastAsia" w:ascii="宋体" w:hAnsi="宋体"/>
                <w:bCs/>
                <w:kern w:val="0"/>
                <w:sz w:val="22"/>
                <w:szCs w:val="22"/>
              </w:rPr>
              <w:t>7.配置≥4 个千兆电口；≥4个万兆光口(含万兆多模光模块)；</w:t>
            </w:r>
          </w:p>
          <w:p w14:paraId="5AEBF233">
            <w:pPr>
              <w:widowControl/>
              <w:jc w:val="left"/>
              <w:rPr>
                <w:rFonts w:ascii="宋体" w:hAnsi="宋体"/>
                <w:bCs/>
                <w:kern w:val="0"/>
                <w:sz w:val="22"/>
                <w:szCs w:val="22"/>
              </w:rPr>
            </w:pPr>
            <w:r>
              <w:rPr>
                <w:rFonts w:hint="eastAsia" w:ascii="宋体" w:hAnsi="宋体"/>
                <w:bCs/>
                <w:kern w:val="0"/>
                <w:sz w:val="22"/>
                <w:szCs w:val="22"/>
              </w:rPr>
              <w:t>8.配置≥1块2端口16Gb光纤通道HBA卡(带两个16G SFP+模块)；</w:t>
            </w:r>
          </w:p>
          <w:p w14:paraId="51D11122">
            <w:pPr>
              <w:widowControl/>
              <w:jc w:val="left"/>
              <w:rPr>
                <w:rFonts w:ascii="宋体" w:hAnsi="宋体"/>
                <w:bCs/>
                <w:kern w:val="0"/>
                <w:sz w:val="22"/>
                <w:szCs w:val="22"/>
              </w:rPr>
            </w:pPr>
            <w:r>
              <w:rPr>
                <w:rFonts w:hint="eastAsia" w:ascii="宋体" w:hAnsi="宋体"/>
                <w:bCs/>
                <w:kern w:val="0"/>
                <w:sz w:val="22"/>
                <w:szCs w:val="22"/>
              </w:rPr>
              <w:t>9.配置≥4 个电源模块；</w:t>
            </w:r>
          </w:p>
          <w:p w14:paraId="414F29B7">
            <w:pPr>
              <w:widowControl/>
              <w:jc w:val="left"/>
              <w:rPr>
                <w:rFonts w:ascii="宋体" w:hAnsi="宋体"/>
                <w:bCs/>
                <w:kern w:val="0"/>
                <w:sz w:val="22"/>
                <w:szCs w:val="22"/>
              </w:rPr>
            </w:pPr>
            <w:r>
              <w:rPr>
                <w:rFonts w:hint="eastAsia" w:ascii="宋体" w:hAnsi="宋体"/>
                <w:bCs/>
                <w:kern w:val="0"/>
                <w:sz w:val="22"/>
                <w:szCs w:val="22"/>
              </w:rPr>
              <w:t>10.最大支持≥9个单宽GPU；</w:t>
            </w:r>
          </w:p>
          <w:p w14:paraId="4960753C">
            <w:pPr>
              <w:widowControl/>
              <w:jc w:val="left"/>
              <w:rPr>
                <w:rFonts w:ascii="宋体" w:hAnsi="宋体"/>
                <w:bCs/>
                <w:kern w:val="0"/>
                <w:sz w:val="22"/>
                <w:szCs w:val="22"/>
              </w:rPr>
            </w:pPr>
            <w:r>
              <w:rPr>
                <w:rFonts w:hint="eastAsia" w:ascii="宋体" w:hAnsi="宋体"/>
                <w:bCs/>
                <w:kern w:val="0"/>
                <w:sz w:val="22"/>
                <w:szCs w:val="22"/>
              </w:rPr>
              <w:t>11.</w:t>
            </w:r>
            <w:r>
              <w:rPr>
                <w:rFonts w:hint="eastAsia"/>
              </w:rPr>
              <w:t xml:space="preserve"> </w:t>
            </w:r>
            <w:r>
              <w:rPr>
                <w:rFonts w:hint="eastAsia" w:ascii="宋体" w:hAnsi="宋体"/>
                <w:bCs/>
                <w:kern w:val="0"/>
                <w:sz w:val="22"/>
                <w:szCs w:val="22"/>
              </w:rPr>
              <w:t>▲对于服务器因可更换硬件故障导致启动进程挂死在POST阶段，可提供应急诊断功能。提供国家认可的第三方权威检测机构出具的CMA或CNAS检测报告并加盖项目授权专用章 ；</w:t>
            </w:r>
          </w:p>
          <w:p w14:paraId="012006F3">
            <w:pPr>
              <w:widowControl/>
              <w:jc w:val="left"/>
              <w:rPr>
                <w:rFonts w:ascii="宋体" w:hAnsi="宋体"/>
                <w:bCs/>
                <w:color w:val="FF0000"/>
                <w:kern w:val="0"/>
                <w:sz w:val="22"/>
                <w:szCs w:val="22"/>
              </w:rPr>
            </w:pPr>
            <w:r>
              <w:rPr>
                <w:rFonts w:hint="eastAsia" w:ascii="宋体" w:hAnsi="宋体"/>
                <w:bCs/>
                <w:kern w:val="0"/>
                <w:sz w:val="22"/>
                <w:szCs w:val="22"/>
              </w:rPr>
              <w:t>12.▲支持通过服务U盘下载服务器设备故障诊断日志，</w:t>
            </w:r>
            <w:r>
              <w:rPr>
                <w:rFonts w:hint="eastAsia"/>
              </w:rPr>
              <w:t>投标时须提供国家认可的第三方检测机构出具的CMA检测报告复印件并加盖公章</w:t>
            </w:r>
            <w:r>
              <w:rPr>
                <w:rStyle w:val="7"/>
                <w:rFonts w:hint="eastAsia"/>
              </w:rPr>
              <w:t>；</w:t>
            </w:r>
          </w:p>
          <w:p w14:paraId="54E853B5">
            <w:pPr>
              <w:widowControl/>
              <w:jc w:val="left"/>
              <w:rPr>
                <w:rFonts w:ascii="宋体" w:hAnsi="宋体"/>
                <w:bCs/>
                <w:color w:val="FF0000"/>
                <w:kern w:val="0"/>
                <w:sz w:val="22"/>
                <w:szCs w:val="22"/>
              </w:rPr>
            </w:pPr>
            <w:r>
              <w:rPr>
                <w:rFonts w:ascii="宋体" w:hAnsi="宋体"/>
                <w:bCs/>
                <w:kern w:val="0"/>
                <w:sz w:val="22"/>
                <w:szCs w:val="22"/>
              </w:rPr>
              <w:t>13.▲用户在不部署任何管理软件的情况下，支持联合管理功能即可实现小规模服务器的统一管理，方便了服务器运维管理</w:t>
            </w:r>
            <w:r>
              <w:rPr>
                <w:rFonts w:hint="eastAsia" w:ascii="宋体" w:hAnsi="宋体"/>
                <w:bCs/>
                <w:kern w:val="0"/>
                <w:sz w:val="22"/>
                <w:szCs w:val="22"/>
              </w:rPr>
              <w:t>，</w:t>
            </w:r>
            <w:r>
              <w:rPr>
                <w:rFonts w:hint="eastAsia"/>
              </w:rPr>
              <w:t>投标时须提供国家认可的第三方检测机构出具的CMA检测报告复印件并加盖公章投标时须提供国家认可的第三方检测机构出具的CMA或CNAS检测报告复印件并加盖公章</w:t>
            </w:r>
            <w:r>
              <w:rPr>
                <w:rStyle w:val="7"/>
                <w:rFonts w:hint="eastAsia"/>
              </w:rPr>
              <w:t>；</w:t>
            </w:r>
          </w:p>
          <w:p w14:paraId="1AB0F3C6">
            <w:pPr>
              <w:pStyle w:val="4"/>
              <w:rPr>
                <w:rFonts w:hint="eastAsia" w:ascii="宋体" w:hAnsi="宋体" w:eastAsia="宋体"/>
                <w:bCs/>
                <w:kern w:val="0"/>
                <w:sz w:val="22"/>
                <w:szCs w:val="22"/>
                <w:lang w:eastAsia="zh-CN"/>
              </w:rPr>
            </w:pPr>
            <w:r>
              <w:rPr>
                <w:rFonts w:ascii="宋体" w:hAnsi="宋体"/>
                <w:bCs/>
                <w:kern w:val="0"/>
                <w:sz w:val="22"/>
                <w:szCs w:val="22"/>
              </w:rPr>
              <w:t>14.▲支持批量安装RedHat和CentOS系统时支持上传自定义应答文件（KickStart File，简称KS文件），满足在安装OS过程中对分区、软件包等安装设置进行个性化定制的需求</w:t>
            </w:r>
            <w:r>
              <w:rPr>
                <w:rFonts w:hint="eastAsia" w:ascii="宋体" w:hAnsi="宋体"/>
                <w:bCs/>
                <w:kern w:val="0"/>
                <w:sz w:val="22"/>
                <w:szCs w:val="22"/>
              </w:rPr>
              <w:t>；</w:t>
            </w:r>
            <w:r>
              <w:rPr>
                <w:rStyle w:val="7"/>
                <w:rFonts w:hint="eastAsia"/>
              </w:rPr>
              <w:t>投标时须提供国家认可的第三方检测机构出具的CMA</w:t>
            </w:r>
            <w:r>
              <w:rPr>
                <w:rFonts w:hint="eastAsia"/>
              </w:rPr>
              <w:t>或CNAS</w:t>
            </w:r>
            <w:r>
              <w:rPr>
                <w:rStyle w:val="7"/>
                <w:rFonts w:hint="eastAsia"/>
              </w:rPr>
              <w:t>检测报告复印件并加盖公章</w:t>
            </w:r>
            <w:r>
              <w:rPr>
                <w:rStyle w:val="7"/>
                <w:rFonts w:hint="eastAsia"/>
                <w:lang w:eastAsia="zh-CN"/>
              </w:rPr>
              <w:t>。</w:t>
            </w:r>
          </w:p>
          <w:p w14:paraId="2F76A3EE">
            <w:pPr>
              <w:widowControl/>
              <w:jc w:val="left"/>
              <w:rPr>
                <w:rFonts w:ascii="宋体" w:hAnsi="宋体"/>
                <w:bCs/>
                <w:kern w:val="0"/>
                <w:sz w:val="22"/>
                <w:szCs w:val="22"/>
              </w:rPr>
            </w:pPr>
          </w:p>
        </w:tc>
      </w:tr>
      <w:tr w14:paraId="0BD406DA">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2FD04DD4">
            <w:pPr>
              <w:widowControl/>
              <w:jc w:val="left"/>
              <w:rPr>
                <w:rFonts w:ascii="宋体" w:hAnsi="宋体"/>
                <w:bCs/>
                <w:kern w:val="0"/>
                <w:sz w:val="22"/>
                <w:szCs w:val="22"/>
              </w:rPr>
            </w:pPr>
            <w:r>
              <w:rPr>
                <w:rFonts w:hint="eastAsia" w:ascii="宋体" w:hAnsi="宋体"/>
                <w:bCs/>
                <w:kern w:val="0"/>
                <w:sz w:val="22"/>
                <w:szCs w:val="22"/>
              </w:rPr>
              <w:t>2</w:t>
            </w:r>
          </w:p>
        </w:tc>
        <w:tc>
          <w:tcPr>
            <w:tcW w:w="1216" w:type="dxa"/>
            <w:tcBorders>
              <w:top w:val="single" w:color="000000" w:sz="4" w:space="0"/>
              <w:left w:val="single" w:color="000000" w:sz="4" w:space="0"/>
              <w:bottom w:val="single" w:color="000000" w:sz="4" w:space="0"/>
              <w:right w:val="single" w:color="000000" w:sz="4" w:space="0"/>
            </w:tcBorders>
            <w:vAlign w:val="center"/>
          </w:tcPr>
          <w:p w14:paraId="256D3262">
            <w:pPr>
              <w:widowControl/>
              <w:jc w:val="left"/>
              <w:rPr>
                <w:rFonts w:ascii="宋体" w:hAnsi="宋体"/>
                <w:bCs/>
                <w:kern w:val="0"/>
                <w:sz w:val="22"/>
                <w:szCs w:val="22"/>
              </w:rPr>
            </w:pPr>
            <w:r>
              <w:rPr>
                <w:rFonts w:hint="eastAsia"/>
              </w:rPr>
              <w:t>国产品牌</w:t>
            </w:r>
            <w:r>
              <w:rPr>
                <w:rFonts w:hint="eastAsia" w:ascii="宋体" w:hAnsi="宋体"/>
                <w:bCs/>
                <w:kern w:val="0"/>
                <w:sz w:val="22"/>
                <w:szCs w:val="22"/>
              </w:rPr>
              <w:t>集中式存储扩容</w:t>
            </w:r>
          </w:p>
        </w:tc>
        <w:tc>
          <w:tcPr>
            <w:tcW w:w="7289" w:type="dxa"/>
            <w:tcBorders>
              <w:top w:val="single" w:color="000000" w:sz="4" w:space="0"/>
              <w:left w:val="single" w:color="000000" w:sz="4" w:space="0"/>
              <w:bottom w:val="single" w:color="000000" w:sz="4" w:space="0"/>
              <w:right w:val="single" w:color="000000" w:sz="4" w:space="0"/>
            </w:tcBorders>
            <w:vAlign w:val="center"/>
          </w:tcPr>
          <w:p w14:paraId="7AE507D8">
            <w:pPr>
              <w:widowControl/>
              <w:jc w:val="left"/>
              <w:rPr>
                <w:rFonts w:ascii="宋体" w:hAnsi="宋体"/>
                <w:bCs/>
                <w:color w:val="auto"/>
                <w:kern w:val="0"/>
                <w:sz w:val="22"/>
                <w:szCs w:val="22"/>
              </w:rPr>
            </w:pPr>
            <w:r>
              <w:rPr>
                <w:rFonts w:hint="eastAsia" w:ascii="宋体" w:hAnsi="宋体"/>
                <w:bCs/>
                <w:kern w:val="0"/>
                <w:sz w:val="22"/>
                <w:szCs w:val="22"/>
              </w:rPr>
              <w:t>1.▲控制器：本次配置2</w:t>
            </w:r>
            <w:r>
              <w:rPr>
                <w:rFonts w:hint="eastAsia" w:ascii="宋体" w:hAnsi="宋体"/>
                <w:bCs/>
                <w:color w:val="auto"/>
                <w:kern w:val="0"/>
                <w:sz w:val="22"/>
                <w:szCs w:val="22"/>
              </w:rPr>
              <w:t>个控制器，最大扩展至≥</w:t>
            </w:r>
            <w:r>
              <w:rPr>
                <w:rFonts w:ascii="宋体" w:hAnsi="宋体"/>
                <w:bCs/>
                <w:color w:val="auto"/>
                <w:kern w:val="0"/>
                <w:sz w:val="22"/>
                <w:szCs w:val="22"/>
              </w:rPr>
              <w:t>48</w:t>
            </w:r>
            <w:r>
              <w:rPr>
                <w:rFonts w:hint="eastAsia" w:ascii="宋体" w:hAnsi="宋体"/>
                <w:bCs/>
                <w:color w:val="auto"/>
                <w:kern w:val="0"/>
                <w:sz w:val="22"/>
                <w:szCs w:val="22"/>
              </w:rPr>
              <w:t>控，采用盘控分离方式，配置国产化X86 CPU；</w:t>
            </w:r>
          </w:p>
          <w:p w14:paraId="18061EC6">
            <w:pPr>
              <w:widowControl/>
              <w:jc w:val="left"/>
              <w:rPr>
                <w:rFonts w:ascii="宋体" w:hAnsi="宋体"/>
                <w:bCs/>
                <w:color w:val="auto"/>
                <w:kern w:val="0"/>
                <w:sz w:val="22"/>
                <w:szCs w:val="22"/>
              </w:rPr>
            </w:pPr>
            <w:r>
              <w:rPr>
                <w:rFonts w:hint="eastAsia" w:ascii="宋体" w:hAnsi="宋体"/>
                <w:bCs/>
                <w:color w:val="auto"/>
                <w:kern w:val="0"/>
                <w:sz w:val="22"/>
                <w:szCs w:val="22"/>
              </w:rPr>
              <w:t>2.缓存：双控制器配置缓存≥</w:t>
            </w:r>
            <w:r>
              <w:rPr>
                <w:rFonts w:ascii="宋体" w:hAnsi="宋体"/>
                <w:bCs/>
                <w:color w:val="auto"/>
                <w:kern w:val="0"/>
                <w:sz w:val="22"/>
                <w:szCs w:val="22"/>
              </w:rPr>
              <w:t>256</w:t>
            </w:r>
            <w:r>
              <w:rPr>
                <w:rFonts w:hint="eastAsia" w:ascii="宋体" w:hAnsi="宋体"/>
                <w:bCs/>
                <w:color w:val="auto"/>
                <w:kern w:val="0"/>
                <w:sz w:val="22"/>
                <w:szCs w:val="22"/>
              </w:rPr>
              <w:t>GB,双控制器缓存最大可扩展≥1.5TB,缓存不包含 SSD 硬盘、闪存及NAS控制器缓存；</w:t>
            </w:r>
          </w:p>
          <w:p w14:paraId="779ADF9E">
            <w:pPr>
              <w:widowControl/>
              <w:jc w:val="left"/>
              <w:rPr>
                <w:rFonts w:ascii="宋体" w:hAnsi="宋体"/>
                <w:bCs/>
                <w:color w:val="auto"/>
                <w:kern w:val="0"/>
                <w:sz w:val="22"/>
                <w:szCs w:val="22"/>
              </w:rPr>
            </w:pPr>
            <w:r>
              <w:rPr>
                <w:rFonts w:hint="eastAsia" w:ascii="宋体" w:hAnsi="宋体"/>
                <w:bCs/>
                <w:color w:val="auto"/>
                <w:kern w:val="0"/>
                <w:sz w:val="22"/>
                <w:szCs w:val="22"/>
              </w:rPr>
              <w:t>3.前端主机接口：本次双控配置16个≥16Gbps FCI0接口模块及OM4线缆；</w:t>
            </w:r>
          </w:p>
          <w:p w14:paraId="23D92534">
            <w:pPr>
              <w:widowControl/>
              <w:jc w:val="left"/>
              <w:rPr>
                <w:rFonts w:ascii="宋体" w:hAnsi="宋体"/>
                <w:bCs/>
                <w:color w:val="auto"/>
                <w:kern w:val="0"/>
                <w:sz w:val="22"/>
                <w:szCs w:val="22"/>
              </w:rPr>
            </w:pPr>
            <w:r>
              <w:rPr>
                <w:rFonts w:hint="eastAsia" w:ascii="宋体" w:hAnsi="宋体"/>
                <w:bCs/>
                <w:color w:val="auto"/>
                <w:kern w:val="0"/>
                <w:sz w:val="22"/>
                <w:szCs w:val="22"/>
              </w:rPr>
              <w:t>4.磁盘接口：采用SAS3.0后端磁盘通道，配置≥8个SAS3.0接口，磁盘通道总体带宽≥ 384Gb；</w:t>
            </w:r>
          </w:p>
          <w:p w14:paraId="3BAD587D">
            <w:pPr>
              <w:widowControl/>
              <w:jc w:val="left"/>
              <w:rPr>
                <w:rFonts w:ascii="宋体" w:hAnsi="宋体"/>
                <w:bCs/>
                <w:kern w:val="0"/>
                <w:sz w:val="22"/>
                <w:szCs w:val="22"/>
              </w:rPr>
            </w:pPr>
            <w:r>
              <w:rPr>
                <w:rFonts w:hint="eastAsia" w:ascii="宋体" w:hAnsi="宋体"/>
                <w:bCs/>
                <w:color w:val="auto"/>
                <w:kern w:val="0"/>
                <w:sz w:val="22"/>
                <w:szCs w:val="22"/>
              </w:rPr>
              <w:t>5.硬盘配置：本次配置4块≥</w:t>
            </w:r>
            <w:r>
              <w:rPr>
                <w:rFonts w:ascii="宋体" w:hAnsi="宋体"/>
                <w:bCs/>
                <w:color w:val="auto"/>
                <w:kern w:val="0"/>
                <w:sz w:val="22"/>
                <w:szCs w:val="22"/>
              </w:rPr>
              <w:t>1.2</w:t>
            </w:r>
            <w:r>
              <w:rPr>
                <w:rFonts w:hint="eastAsia" w:ascii="宋体" w:hAnsi="宋体"/>
                <w:bCs/>
                <w:color w:val="auto"/>
                <w:kern w:val="0"/>
                <w:sz w:val="22"/>
                <w:szCs w:val="22"/>
              </w:rPr>
              <w:t>TB 10KRPM SAS硬盘，配置31块≥2.4TB 10KRPM SAS硬盘，配置23块≥6TB ≥7.2KRPM SAS硬盘，配置15块≥1.92TB SAS SSD硬盘，采用RAID6保护策略，</w:t>
            </w:r>
            <w:r>
              <w:rPr>
                <w:rFonts w:hint="eastAsia" w:ascii="宋体" w:hAnsi="宋体"/>
                <w:bCs/>
                <w:kern w:val="0"/>
                <w:sz w:val="22"/>
                <w:szCs w:val="22"/>
              </w:rPr>
              <w:t>支持SSD/SAS/NL-SAS硬盘混插；</w:t>
            </w:r>
          </w:p>
          <w:p w14:paraId="4E1E89BF">
            <w:pPr>
              <w:widowControl/>
              <w:jc w:val="left"/>
              <w:rPr>
                <w:rFonts w:ascii="宋体" w:hAnsi="宋体"/>
                <w:bCs/>
                <w:kern w:val="0"/>
                <w:sz w:val="22"/>
                <w:szCs w:val="22"/>
              </w:rPr>
            </w:pPr>
            <w:r>
              <w:rPr>
                <w:rFonts w:hint="eastAsia" w:ascii="宋体" w:hAnsi="宋体"/>
                <w:bCs/>
                <w:kern w:val="0"/>
                <w:sz w:val="22"/>
                <w:szCs w:val="22"/>
              </w:rPr>
              <w:t>6.RAID类型：支持RAID0,1,5,6,10,50等；</w:t>
            </w:r>
          </w:p>
          <w:p w14:paraId="5A9A9FFB">
            <w:pPr>
              <w:widowControl/>
              <w:jc w:val="left"/>
              <w:rPr>
                <w:rFonts w:ascii="宋体" w:hAnsi="宋体"/>
                <w:bCs/>
                <w:kern w:val="0"/>
                <w:sz w:val="22"/>
                <w:szCs w:val="22"/>
              </w:rPr>
            </w:pPr>
            <w:r>
              <w:rPr>
                <w:rFonts w:hint="eastAsia" w:ascii="宋体" w:hAnsi="宋体"/>
                <w:bCs/>
                <w:kern w:val="0"/>
                <w:sz w:val="22"/>
                <w:szCs w:val="22"/>
              </w:rPr>
              <w:t>7.可靠性：冗余电源、风扇、缓存断电保护功能；</w:t>
            </w:r>
          </w:p>
          <w:p w14:paraId="455F90BD">
            <w:pPr>
              <w:widowControl/>
              <w:jc w:val="left"/>
              <w:rPr>
                <w:rFonts w:ascii="宋体" w:hAnsi="宋体"/>
                <w:bCs/>
                <w:kern w:val="0"/>
                <w:sz w:val="22"/>
                <w:szCs w:val="22"/>
              </w:rPr>
            </w:pPr>
            <w:r>
              <w:rPr>
                <w:rFonts w:hint="eastAsia" w:ascii="宋体" w:hAnsi="宋体"/>
                <w:bCs/>
                <w:kern w:val="0"/>
                <w:sz w:val="22"/>
                <w:szCs w:val="22"/>
              </w:rPr>
              <w:t>8.软件功能特性：配置存储系统管理软件；配置邮件告警软件；配置高级性能监控软件；配置双活存储软件；配置自动分层软件；配置自动巡检机器人软件；SPC-1 V3达到610W IOPS。</w:t>
            </w:r>
          </w:p>
          <w:p w14:paraId="63FAFE45">
            <w:pPr>
              <w:widowControl/>
              <w:jc w:val="left"/>
              <w:rPr>
                <w:rFonts w:hint="eastAsia" w:ascii="宋体" w:hAnsi="宋体"/>
                <w:bCs/>
                <w:kern w:val="0"/>
                <w:sz w:val="22"/>
                <w:szCs w:val="22"/>
              </w:rPr>
            </w:pPr>
            <w:r>
              <w:rPr>
                <w:rFonts w:hint="eastAsia" w:ascii="宋体" w:hAnsi="宋体"/>
                <w:bCs/>
                <w:kern w:val="0"/>
                <w:sz w:val="22"/>
                <w:szCs w:val="22"/>
              </w:rPr>
              <w:t>9.服务：提供原厂安装服务，3年维保；配置双活存储软件服务；</w:t>
            </w:r>
          </w:p>
          <w:p w14:paraId="01FFD0D7">
            <w:pPr>
              <w:widowControl/>
              <w:jc w:val="left"/>
              <w:rPr>
                <w:rFonts w:ascii="宋体" w:hAnsi="宋体"/>
                <w:bCs/>
                <w:kern w:val="0"/>
                <w:sz w:val="22"/>
                <w:szCs w:val="22"/>
              </w:rPr>
            </w:pPr>
            <w:r>
              <w:rPr>
                <w:rFonts w:ascii="宋体" w:hAnsi="宋体"/>
                <w:bCs/>
                <w:kern w:val="0"/>
                <w:sz w:val="22"/>
                <w:szCs w:val="22"/>
              </w:rPr>
              <w:t>1</w:t>
            </w:r>
            <w:r>
              <w:rPr>
                <w:rFonts w:hint="eastAsia" w:ascii="宋体" w:hAnsi="宋体"/>
                <w:bCs/>
                <w:kern w:val="0"/>
                <w:sz w:val="22"/>
                <w:szCs w:val="22"/>
              </w:rPr>
              <w:t>0</w:t>
            </w:r>
            <w:r>
              <w:rPr>
                <w:rFonts w:ascii="宋体" w:hAnsi="宋体"/>
                <w:bCs/>
                <w:kern w:val="0"/>
                <w:sz w:val="22"/>
                <w:szCs w:val="22"/>
              </w:rPr>
              <w:t>.▲配置存储双</w:t>
            </w:r>
            <w:r>
              <w:rPr>
                <w:rFonts w:hint="eastAsia" w:ascii="宋体" w:hAnsi="宋体"/>
                <w:bCs/>
                <w:kern w:val="0"/>
                <w:sz w:val="22"/>
                <w:szCs w:val="22"/>
              </w:rPr>
              <w:t>活软件</w:t>
            </w:r>
            <w:r>
              <w:rPr>
                <w:rFonts w:ascii="宋体" w:hAnsi="宋体"/>
                <w:bCs/>
                <w:kern w:val="0"/>
                <w:sz w:val="22"/>
                <w:szCs w:val="22"/>
              </w:rPr>
              <w:t>*2套，分别在医院现有核心生产存储上部署一套双活存储软件，在新购置的存储上部署一套双活存储软件，不增加任何第三方软件或者硬件，能与医院现有的核心生产存储组成双活存储，兼容现有业务存储；</w:t>
            </w:r>
          </w:p>
          <w:p w14:paraId="1681A507">
            <w:pPr>
              <w:widowControl/>
              <w:jc w:val="left"/>
              <w:rPr>
                <w:rFonts w:ascii="宋体" w:hAnsi="宋体"/>
                <w:bCs/>
                <w:color w:val="auto"/>
                <w:kern w:val="0"/>
                <w:sz w:val="22"/>
                <w:szCs w:val="22"/>
              </w:rPr>
            </w:pPr>
            <w:r>
              <w:rPr>
                <w:rFonts w:ascii="宋体" w:hAnsi="宋体"/>
                <w:bCs/>
                <w:kern w:val="0"/>
                <w:sz w:val="22"/>
                <w:szCs w:val="22"/>
              </w:rPr>
              <w:t>1</w:t>
            </w:r>
            <w:r>
              <w:rPr>
                <w:rFonts w:hint="eastAsia" w:ascii="宋体" w:hAnsi="宋体"/>
                <w:bCs/>
                <w:kern w:val="0"/>
                <w:sz w:val="22"/>
                <w:szCs w:val="22"/>
              </w:rPr>
              <w:t>1</w:t>
            </w:r>
            <w:r>
              <w:rPr>
                <w:rFonts w:ascii="宋体" w:hAnsi="宋体"/>
                <w:bCs/>
                <w:kern w:val="0"/>
                <w:sz w:val="22"/>
                <w:szCs w:val="22"/>
              </w:rPr>
              <w:t>.</w:t>
            </w:r>
            <w:r>
              <w:rPr>
                <w:rFonts w:hint="eastAsia" w:ascii="宋体" w:hAnsi="宋体"/>
                <w:bCs/>
                <w:kern w:val="0"/>
                <w:sz w:val="22"/>
                <w:szCs w:val="22"/>
              </w:rPr>
              <w:t>★在现有核</w:t>
            </w:r>
            <w:r>
              <w:rPr>
                <w:rFonts w:ascii="宋体" w:hAnsi="宋体"/>
                <w:bCs/>
                <w:kern w:val="0"/>
                <w:sz w:val="22"/>
                <w:szCs w:val="22"/>
              </w:rPr>
              <w:t>心生产存储上新增</w:t>
            </w:r>
            <w:r>
              <w:rPr>
                <w:rFonts w:ascii="宋体" w:hAnsi="宋体"/>
                <w:bCs/>
                <w:color w:val="auto"/>
                <w:kern w:val="0"/>
                <w:sz w:val="22"/>
                <w:szCs w:val="22"/>
              </w:rPr>
              <w:t>8个</w:t>
            </w:r>
            <w:r>
              <w:rPr>
                <w:rFonts w:hint="eastAsia" w:ascii="宋体" w:hAnsi="宋体"/>
                <w:bCs/>
                <w:color w:val="auto"/>
                <w:kern w:val="0"/>
                <w:sz w:val="22"/>
                <w:szCs w:val="22"/>
              </w:rPr>
              <w:t>≥</w:t>
            </w:r>
            <w:r>
              <w:rPr>
                <w:rFonts w:ascii="宋体" w:hAnsi="宋体"/>
                <w:bCs/>
                <w:color w:val="auto"/>
                <w:kern w:val="0"/>
                <w:sz w:val="22"/>
                <w:szCs w:val="22"/>
              </w:rPr>
              <w:t xml:space="preserve">16Gbps FC IO接口模块及 OM4 </w:t>
            </w:r>
            <w:r>
              <w:rPr>
                <w:rFonts w:hint="eastAsia" w:ascii="宋体" w:hAnsi="宋体"/>
                <w:bCs/>
                <w:color w:val="auto"/>
                <w:kern w:val="0"/>
                <w:sz w:val="22"/>
                <w:szCs w:val="22"/>
              </w:rPr>
              <w:t>线缆；</w:t>
            </w:r>
          </w:p>
          <w:p w14:paraId="1C2E98D8">
            <w:pPr>
              <w:rPr>
                <w:rFonts w:hint="eastAsia" w:ascii="宋体" w:hAnsi="宋体"/>
                <w:bCs/>
                <w:kern w:val="0"/>
                <w:sz w:val="22"/>
                <w:szCs w:val="22"/>
              </w:rPr>
            </w:pPr>
            <w:r>
              <w:rPr>
                <w:rFonts w:hint="eastAsia" w:ascii="宋体" w:hAnsi="宋体"/>
                <w:bCs/>
                <w:color w:val="auto"/>
                <w:kern w:val="0"/>
                <w:sz w:val="22"/>
                <w:szCs w:val="22"/>
              </w:rPr>
              <w:t>12.▲为保证本次采购存储设备的安</w:t>
            </w:r>
            <w:r>
              <w:rPr>
                <w:rFonts w:hint="eastAsia" w:ascii="宋体" w:hAnsi="宋体"/>
                <w:bCs/>
                <w:kern w:val="0"/>
                <w:sz w:val="22"/>
                <w:szCs w:val="22"/>
              </w:rPr>
              <w:t>全可靠性，投标产品获得《网络关键设备和网络安全专用产品安全认证证书》，提供证书复印件并加盖原厂公章。</w:t>
            </w:r>
          </w:p>
        </w:tc>
      </w:tr>
      <w:tr w14:paraId="62CA71C1">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0B0C956F">
            <w:pPr>
              <w:widowControl/>
              <w:jc w:val="left"/>
              <w:rPr>
                <w:rFonts w:ascii="宋体" w:hAnsi="宋体"/>
                <w:bCs/>
                <w:kern w:val="0"/>
                <w:sz w:val="22"/>
                <w:szCs w:val="22"/>
              </w:rPr>
            </w:pPr>
            <w:r>
              <w:rPr>
                <w:rFonts w:hint="eastAsia" w:ascii="宋体" w:hAnsi="宋体"/>
                <w:bCs/>
                <w:kern w:val="0"/>
                <w:sz w:val="22"/>
                <w:szCs w:val="22"/>
              </w:rPr>
              <w:t>3</w:t>
            </w:r>
          </w:p>
        </w:tc>
        <w:tc>
          <w:tcPr>
            <w:tcW w:w="1216" w:type="dxa"/>
            <w:tcBorders>
              <w:top w:val="single" w:color="000000" w:sz="4" w:space="0"/>
              <w:left w:val="single" w:color="000000" w:sz="4" w:space="0"/>
              <w:bottom w:val="single" w:color="000000" w:sz="4" w:space="0"/>
              <w:right w:val="single" w:color="000000" w:sz="4" w:space="0"/>
            </w:tcBorders>
            <w:vAlign w:val="center"/>
          </w:tcPr>
          <w:p w14:paraId="09E4127E">
            <w:pPr>
              <w:widowControl/>
              <w:jc w:val="left"/>
              <w:rPr>
                <w:rFonts w:ascii="宋体" w:hAnsi="宋体"/>
                <w:bCs/>
                <w:kern w:val="0"/>
                <w:sz w:val="22"/>
                <w:szCs w:val="22"/>
              </w:rPr>
            </w:pPr>
            <w:r>
              <w:rPr>
                <w:rFonts w:hint="eastAsia" w:ascii="宋体" w:hAnsi="宋体"/>
                <w:bCs/>
                <w:kern w:val="0"/>
                <w:sz w:val="22"/>
                <w:szCs w:val="22"/>
              </w:rPr>
              <w:t>光纤交换机</w:t>
            </w:r>
          </w:p>
        </w:tc>
        <w:tc>
          <w:tcPr>
            <w:tcW w:w="7289" w:type="dxa"/>
            <w:tcBorders>
              <w:top w:val="single" w:color="000000" w:sz="4" w:space="0"/>
              <w:left w:val="single" w:color="000000" w:sz="4" w:space="0"/>
              <w:bottom w:val="single" w:color="000000" w:sz="4" w:space="0"/>
              <w:right w:val="single" w:color="000000" w:sz="4" w:space="0"/>
            </w:tcBorders>
            <w:vAlign w:val="center"/>
          </w:tcPr>
          <w:p w14:paraId="173C66AB">
            <w:pPr>
              <w:widowControl/>
              <w:jc w:val="left"/>
              <w:rPr>
                <w:rFonts w:ascii="宋体" w:hAnsi="宋体"/>
                <w:bCs/>
                <w:color w:val="auto"/>
                <w:kern w:val="0"/>
                <w:sz w:val="22"/>
                <w:szCs w:val="22"/>
              </w:rPr>
            </w:pPr>
            <w:r>
              <w:rPr>
                <w:rFonts w:hint="eastAsia" w:ascii="宋体" w:hAnsi="宋体"/>
                <w:bCs/>
                <w:kern w:val="0"/>
                <w:sz w:val="22"/>
                <w:szCs w:val="22"/>
              </w:rPr>
              <w:t>1.配置 24 端</w:t>
            </w:r>
            <w:r>
              <w:rPr>
                <w:rFonts w:hint="eastAsia" w:ascii="宋体" w:hAnsi="宋体"/>
                <w:bCs/>
                <w:color w:val="auto"/>
                <w:kern w:val="0"/>
                <w:sz w:val="22"/>
                <w:szCs w:val="22"/>
              </w:rPr>
              <w:t>口，全激活，满配≥ 16G 光模块；</w:t>
            </w:r>
          </w:p>
          <w:p w14:paraId="6D1EC808">
            <w:pPr>
              <w:widowControl/>
              <w:jc w:val="left"/>
              <w:rPr>
                <w:rFonts w:hint="eastAsia" w:ascii="宋体" w:hAnsi="宋体"/>
                <w:bCs/>
                <w:kern w:val="0"/>
                <w:sz w:val="22"/>
                <w:szCs w:val="22"/>
              </w:rPr>
            </w:pPr>
            <w:r>
              <w:rPr>
                <w:rFonts w:hint="eastAsia" w:ascii="宋体" w:hAnsi="宋体"/>
                <w:bCs/>
                <w:color w:val="auto"/>
                <w:kern w:val="0"/>
                <w:sz w:val="22"/>
                <w:szCs w:val="22"/>
              </w:rPr>
              <w:t>2.支持≥16Gbps 端口速率；满配线缆；满配电源，满配风扇；</w:t>
            </w:r>
          </w:p>
        </w:tc>
      </w:tr>
      <w:tr w14:paraId="50B0A0A5">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2608D291">
            <w:pPr>
              <w:widowControl/>
              <w:jc w:val="left"/>
              <w:rPr>
                <w:rFonts w:ascii="宋体" w:hAnsi="宋体"/>
                <w:bCs/>
                <w:kern w:val="0"/>
                <w:sz w:val="22"/>
                <w:szCs w:val="22"/>
              </w:rPr>
            </w:pPr>
            <w:r>
              <w:rPr>
                <w:rFonts w:hint="eastAsia" w:ascii="宋体" w:hAnsi="宋体"/>
                <w:bCs/>
                <w:kern w:val="0"/>
                <w:sz w:val="22"/>
                <w:szCs w:val="22"/>
              </w:rPr>
              <w:t>4</w:t>
            </w:r>
          </w:p>
        </w:tc>
        <w:tc>
          <w:tcPr>
            <w:tcW w:w="1216" w:type="dxa"/>
            <w:tcBorders>
              <w:top w:val="single" w:color="000000" w:sz="4" w:space="0"/>
              <w:left w:val="single" w:color="000000" w:sz="4" w:space="0"/>
              <w:bottom w:val="single" w:color="000000" w:sz="4" w:space="0"/>
              <w:right w:val="single" w:color="000000" w:sz="4" w:space="0"/>
            </w:tcBorders>
            <w:vAlign w:val="center"/>
          </w:tcPr>
          <w:p w14:paraId="5A1D7AB1">
            <w:pPr>
              <w:widowControl/>
              <w:jc w:val="left"/>
              <w:rPr>
                <w:rFonts w:ascii="宋体" w:hAnsi="宋体"/>
                <w:bCs/>
                <w:kern w:val="0"/>
                <w:sz w:val="22"/>
                <w:szCs w:val="22"/>
              </w:rPr>
            </w:pPr>
            <w:r>
              <w:rPr>
                <w:rFonts w:hint="eastAsia" w:ascii="宋体" w:hAnsi="宋体"/>
                <w:bCs/>
                <w:kern w:val="0"/>
                <w:sz w:val="22"/>
                <w:szCs w:val="22"/>
              </w:rPr>
              <w:t>超融合服务器</w:t>
            </w:r>
          </w:p>
        </w:tc>
        <w:tc>
          <w:tcPr>
            <w:tcW w:w="7289" w:type="dxa"/>
            <w:tcBorders>
              <w:top w:val="single" w:color="000000" w:sz="4" w:space="0"/>
              <w:left w:val="single" w:color="000000" w:sz="4" w:space="0"/>
              <w:bottom w:val="single" w:color="000000" w:sz="4" w:space="0"/>
              <w:right w:val="single" w:color="000000" w:sz="4" w:space="0"/>
            </w:tcBorders>
            <w:vAlign w:val="center"/>
          </w:tcPr>
          <w:p w14:paraId="0248842E">
            <w:pPr>
              <w:widowControl/>
              <w:jc w:val="left"/>
              <w:rPr>
                <w:rFonts w:ascii="宋体" w:hAnsi="宋体"/>
                <w:bCs/>
                <w:color w:val="auto"/>
                <w:kern w:val="0"/>
                <w:sz w:val="22"/>
                <w:szCs w:val="22"/>
              </w:rPr>
            </w:pPr>
            <w:r>
              <w:rPr>
                <w:rFonts w:hint="eastAsia" w:ascii="宋体" w:hAnsi="宋体"/>
                <w:bCs/>
                <w:kern w:val="0"/>
                <w:sz w:val="22"/>
                <w:szCs w:val="22"/>
              </w:rPr>
              <w:t>1、硬件参数：CPU≥2颗≥2.90 GHz（1</w:t>
            </w:r>
            <w:r>
              <w:rPr>
                <w:rFonts w:hint="eastAsia" w:ascii="宋体" w:hAnsi="宋体"/>
                <w:bCs/>
                <w:color w:val="auto"/>
                <w:kern w:val="0"/>
                <w:sz w:val="22"/>
                <w:szCs w:val="22"/>
              </w:rPr>
              <w:t>6C），内存≥12*64GB，系统盘≥2*240GB SATA SSD，缓存盘≥2*≥1.92T SSD固态，数据盘≥4*≥10T 机械硬盘，电源：冗余电源，接口≥6千兆电口+4万兆光口（含全模块）；</w:t>
            </w:r>
          </w:p>
          <w:p w14:paraId="68498740">
            <w:pPr>
              <w:widowControl/>
              <w:jc w:val="left"/>
              <w:rPr>
                <w:rFonts w:ascii="宋体" w:hAnsi="宋体"/>
                <w:bCs/>
                <w:kern w:val="0"/>
                <w:sz w:val="22"/>
                <w:szCs w:val="22"/>
              </w:rPr>
            </w:pPr>
            <w:r>
              <w:rPr>
                <w:rFonts w:hint="eastAsia" w:ascii="宋体" w:hAnsi="宋体"/>
                <w:bCs/>
                <w:color w:val="auto"/>
                <w:kern w:val="0"/>
                <w:sz w:val="22"/>
                <w:szCs w:val="22"/>
              </w:rPr>
              <w:t>2、含2套计算虚拟化软件授权，2套网络虚拟化软件，2</w:t>
            </w:r>
            <w:r>
              <w:rPr>
                <w:rFonts w:hint="eastAsia" w:ascii="宋体" w:hAnsi="宋体"/>
                <w:bCs/>
                <w:kern w:val="0"/>
                <w:sz w:val="22"/>
                <w:szCs w:val="22"/>
              </w:rPr>
              <w:t>套虚拟存储软件，2套计算管理平台软件授权；</w:t>
            </w:r>
          </w:p>
          <w:p w14:paraId="60C782FE">
            <w:pPr>
              <w:widowControl/>
              <w:jc w:val="left"/>
              <w:rPr>
                <w:rFonts w:ascii="宋体" w:hAnsi="宋体"/>
                <w:bCs/>
                <w:kern w:val="0"/>
                <w:sz w:val="22"/>
                <w:szCs w:val="22"/>
              </w:rPr>
            </w:pPr>
            <w:r>
              <w:rPr>
                <w:rFonts w:hint="eastAsia" w:ascii="宋体" w:hAnsi="宋体"/>
                <w:bCs/>
                <w:kern w:val="0"/>
                <w:sz w:val="22"/>
                <w:szCs w:val="22"/>
              </w:rPr>
              <w:t>3、虚拟化软件非OEM或贴牌产品，采用分布式管理架构，去中心化，管理平台不依赖于某一个虚拟机或物理机部署，部署时无需绑定安装OpenStack相关组件；</w:t>
            </w:r>
          </w:p>
          <w:p w14:paraId="5F5A6B55">
            <w:pPr>
              <w:widowControl/>
              <w:jc w:val="left"/>
              <w:rPr>
                <w:rFonts w:ascii="宋体" w:hAnsi="宋体"/>
                <w:bCs/>
                <w:kern w:val="0"/>
                <w:sz w:val="22"/>
                <w:szCs w:val="22"/>
              </w:rPr>
            </w:pPr>
            <w:r>
              <w:rPr>
                <w:rFonts w:hint="eastAsia" w:ascii="宋体" w:hAnsi="宋体"/>
                <w:bCs/>
                <w:kern w:val="0"/>
                <w:sz w:val="22"/>
                <w:szCs w:val="22"/>
              </w:rPr>
              <w:t>▲4、超融合软件层面支持内存ECC自动纠错机制，</w:t>
            </w:r>
            <w:r>
              <w:rPr>
                <w:rStyle w:val="7"/>
                <w:rFonts w:hint="eastAsia"/>
              </w:rPr>
              <w:t>投标时须提供国家认可的第三方检测机构出具的CMA</w:t>
            </w:r>
            <w:r>
              <w:rPr>
                <w:rFonts w:hint="eastAsia"/>
              </w:rPr>
              <w:t>或CNAS</w:t>
            </w:r>
            <w:r>
              <w:rPr>
                <w:rStyle w:val="7"/>
                <w:rFonts w:hint="eastAsia"/>
              </w:rPr>
              <w:t>检测报告复印件并加盖公章；</w:t>
            </w:r>
          </w:p>
          <w:p w14:paraId="27E32F4A">
            <w:pPr>
              <w:widowControl/>
              <w:jc w:val="left"/>
              <w:rPr>
                <w:rFonts w:ascii="宋体" w:hAnsi="宋体"/>
                <w:bCs/>
                <w:kern w:val="0"/>
                <w:sz w:val="22"/>
                <w:szCs w:val="22"/>
              </w:rPr>
            </w:pPr>
            <w:r>
              <w:rPr>
                <w:rFonts w:hint="eastAsia" w:ascii="宋体" w:hAnsi="宋体"/>
                <w:bCs/>
                <w:kern w:val="0"/>
                <w:sz w:val="22"/>
                <w:szCs w:val="22"/>
              </w:rPr>
              <w:t>5、支持对虚拟机的故障检测敏感度进行设置，包括高、中、低等检测敏感度的设置，支持对故障类型的设置，包括对业务口故障进行HA开关设置、虚拟机所在存储故障启用HA设置；</w:t>
            </w:r>
          </w:p>
          <w:p w14:paraId="0360AAB9">
            <w:pPr>
              <w:widowControl/>
              <w:jc w:val="left"/>
              <w:rPr>
                <w:rFonts w:ascii="宋体" w:hAnsi="宋体"/>
                <w:bCs/>
                <w:kern w:val="0"/>
                <w:sz w:val="22"/>
                <w:szCs w:val="22"/>
              </w:rPr>
            </w:pPr>
            <w:r>
              <w:rPr>
                <w:rFonts w:hint="eastAsia" w:ascii="宋体" w:hAnsi="宋体"/>
                <w:bCs/>
                <w:kern w:val="0"/>
                <w:sz w:val="22"/>
                <w:szCs w:val="22"/>
              </w:rPr>
              <w:t>6、具有合理的内存调度机制，支持内存回收机制，实现虚拟化平台内存资源的动态复用，并支持手动设置内存超配机制，能够实现内存的过量使用，保证内存资源的充分利用；</w:t>
            </w:r>
          </w:p>
          <w:p w14:paraId="7B330670">
            <w:pPr>
              <w:widowControl/>
              <w:jc w:val="left"/>
              <w:rPr>
                <w:rFonts w:ascii="宋体" w:hAnsi="宋体"/>
                <w:bCs/>
                <w:color w:val="FF0000"/>
                <w:kern w:val="0"/>
                <w:sz w:val="22"/>
                <w:szCs w:val="22"/>
              </w:rPr>
            </w:pPr>
            <w:r>
              <w:rPr>
                <w:rFonts w:hint="eastAsia" w:ascii="宋体" w:hAnsi="宋体"/>
                <w:bCs/>
                <w:kern w:val="0"/>
                <w:sz w:val="22"/>
                <w:szCs w:val="22"/>
              </w:rPr>
              <w:t>7、支持无代理跨物理主机的虚拟机USB映射，需要使用USB KEY时，无需在虚拟机上安装客户端插件，且虚拟机迁移到其它物理主机后，仍能正常使用迁移前所在物理主机上的USB资源；</w:t>
            </w:r>
          </w:p>
          <w:p w14:paraId="7EAEE229">
            <w:pPr>
              <w:widowControl/>
              <w:jc w:val="left"/>
              <w:rPr>
                <w:rFonts w:ascii="宋体" w:hAnsi="宋体"/>
                <w:bCs/>
                <w:kern w:val="0"/>
                <w:sz w:val="22"/>
                <w:szCs w:val="22"/>
              </w:rPr>
            </w:pPr>
            <w:r>
              <w:rPr>
                <w:rFonts w:hint="eastAsia" w:ascii="宋体" w:hAnsi="宋体"/>
                <w:bCs/>
                <w:kern w:val="0"/>
                <w:sz w:val="22"/>
                <w:szCs w:val="22"/>
              </w:rPr>
              <w:t>▲8、支持UPS QoS（UPS联动），为尽可能保障数据中心断电场景下的业务，可在市电断电时通过UPS临时供应电量，当UPS电量过低时，按照虚拟机优先级先将不重要的虚拟机进行软关机</w:t>
            </w:r>
            <w:r>
              <w:rPr>
                <w:rStyle w:val="7"/>
                <w:rFonts w:hint="eastAsia"/>
              </w:rPr>
              <w:t>；（</w:t>
            </w:r>
            <w:r>
              <w:rPr>
                <w:rFonts w:hint="eastAsia" w:ascii="宋体" w:hAnsi="宋体"/>
                <w:bCs/>
                <w:kern w:val="0"/>
                <w:sz w:val="22"/>
                <w:szCs w:val="22"/>
              </w:rPr>
              <w:t>需提供产品功能截图</w:t>
            </w:r>
            <w:r>
              <w:rPr>
                <w:rStyle w:val="7"/>
                <w:rFonts w:hint="eastAsia"/>
              </w:rPr>
              <w:t>）；</w:t>
            </w:r>
          </w:p>
          <w:p w14:paraId="4F6CEB3A">
            <w:pPr>
              <w:widowControl/>
              <w:jc w:val="left"/>
              <w:rPr>
                <w:rFonts w:ascii="宋体" w:hAnsi="宋体"/>
                <w:bCs/>
                <w:color w:val="FF0000"/>
                <w:kern w:val="0"/>
                <w:sz w:val="22"/>
                <w:szCs w:val="22"/>
              </w:rPr>
            </w:pPr>
            <w:r>
              <w:rPr>
                <w:rFonts w:hint="eastAsia" w:ascii="宋体" w:hAnsi="宋体"/>
                <w:bCs/>
                <w:kern w:val="0"/>
                <w:sz w:val="22"/>
                <w:szCs w:val="22"/>
              </w:rPr>
              <w:t>9、支持双向迁移；</w:t>
            </w:r>
          </w:p>
          <w:p w14:paraId="4769700E">
            <w:pPr>
              <w:widowControl/>
              <w:jc w:val="left"/>
              <w:rPr>
                <w:rFonts w:ascii="宋体" w:hAnsi="宋体"/>
                <w:bCs/>
                <w:kern w:val="0"/>
                <w:sz w:val="22"/>
                <w:szCs w:val="22"/>
              </w:rPr>
            </w:pPr>
            <w:r>
              <w:rPr>
                <w:rFonts w:hint="eastAsia" w:ascii="宋体" w:hAnsi="宋体"/>
                <w:bCs/>
                <w:kern w:val="0"/>
                <w:sz w:val="22"/>
                <w:szCs w:val="22"/>
              </w:rPr>
              <w:t>▲10、为避免主机假死导致系列问题发生，支持识别假死主机并标签化为亚健康主机，通过邮件或短信告警提醒用户进行处理，并限制重要业务在亚健康主机上运行，规避风险</w:t>
            </w:r>
            <w:r>
              <w:rPr>
                <w:rStyle w:val="7"/>
                <w:rFonts w:hint="eastAsia"/>
              </w:rPr>
              <w:t>；（</w:t>
            </w:r>
            <w:r>
              <w:rPr>
                <w:rFonts w:hint="eastAsia" w:ascii="宋体" w:hAnsi="宋体"/>
                <w:bCs/>
                <w:kern w:val="0"/>
                <w:sz w:val="22"/>
                <w:szCs w:val="22"/>
              </w:rPr>
              <w:t>需提供产品功能截图</w:t>
            </w:r>
            <w:r>
              <w:rPr>
                <w:rStyle w:val="7"/>
                <w:rFonts w:hint="eastAsia"/>
              </w:rPr>
              <w:t>）</w:t>
            </w:r>
          </w:p>
          <w:p w14:paraId="68D64714">
            <w:pPr>
              <w:widowControl/>
              <w:jc w:val="left"/>
              <w:rPr>
                <w:rFonts w:ascii="宋体" w:hAnsi="宋体"/>
                <w:bCs/>
                <w:kern w:val="0"/>
                <w:sz w:val="22"/>
                <w:szCs w:val="22"/>
              </w:rPr>
            </w:pPr>
            <w:r>
              <w:rPr>
                <w:rFonts w:hint="eastAsia" w:ascii="宋体" w:hAnsi="宋体"/>
                <w:bCs/>
                <w:kern w:val="0"/>
                <w:sz w:val="22"/>
                <w:szCs w:val="22"/>
              </w:rPr>
              <w:t>11、支持漏洞及版本信息巡检，推送补丁及升级信息，并支持补丁管理、更新、回滚；</w:t>
            </w:r>
          </w:p>
          <w:p w14:paraId="57490323">
            <w:pPr>
              <w:widowControl/>
              <w:jc w:val="left"/>
              <w:rPr>
                <w:rFonts w:ascii="宋体" w:hAnsi="宋体"/>
                <w:bCs/>
                <w:kern w:val="0"/>
                <w:sz w:val="22"/>
                <w:szCs w:val="22"/>
              </w:rPr>
            </w:pPr>
            <w:r>
              <w:rPr>
                <w:rFonts w:hint="eastAsia" w:ascii="宋体" w:hAnsi="宋体"/>
                <w:bCs/>
                <w:kern w:val="0"/>
                <w:sz w:val="22"/>
                <w:szCs w:val="22"/>
              </w:rPr>
              <w:t>12、在超融合管理平台界面上提供虚拟机删除、开关机、挂起与恢复、重启、关闭、关闭电源、克隆、迁移、备份、模板导出、快照、标签管理等功能，并支持批量操作；</w:t>
            </w:r>
          </w:p>
          <w:p w14:paraId="07C782F7">
            <w:pPr>
              <w:widowControl/>
              <w:jc w:val="left"/>
              <w:rPr>
                <w:rFonts w:ascii="宋体" w:hAnsi="宋体"/>
                <w:bCs/>
                <w:kern w:val="0"/>
                <w:sz w:val="22"/>
                <w:szCs w:val="22"/>
              </w:rPr>
            </w:pPr>
            <w:r>
              <w:rPr>
                <w:rFonts w:hint="eastAsia" w:ascii="宋体" w:hAnsi="宋体"/>
                <w:bCs/>
                <w:kern w:val="0"/>
                <w:sz w:val="22"/>
                <w:szCs w:val="22"/>
              </w:rPr>
              <w:t>13、提供基于PowerShell的CLI命令行功能，通过PowerShell脚本可简化用户运维操作；</w:t>
            </w:r>
          </w:p>
          <w:p w14:paraId="42C13B80">
            <w:pPr>
              <w:widowControl/>
              <w:jc w:val="left"/>
              <w:rPr>
                <w:rFonts w:ascii="宋体" w:hAnsi="宋体"/>
                <w:bCs/>
                <w:kern w:val="0"/>
                <w:sz w:val="22"/>
                <w:szCs w:val="22"/>
              </w:rPr>
            </w:pPr>
            <w:r>
              <w:rPr>
                <w:rFonts w:hint="eastAsia" w:ascii="宋体" w:hAnsi="宋体"/>
                <w:bCs/>
                <w:kern w:val="0"/>
                <w:sz w:val="22"/>
                <w:szCs w:val="22"/>
              </w:rPr>
              <w:t>14、支持启动聚合副本后，将会有1个副本聚合在一台主机，虚拟机会优先在聚合主机运行，实现数据的本地读取；</w:t>
            </w:r>
          </w:p>
          <w:p w14:paraId="0F4C68FF">
            <w:pPr>
              <w:widowControl/>
              <w:jc w:val="left"/>
              <w:rPr>
                <w:rFonts w:ascii="宋体" w:hAnsi="宋体"/>
                <w:bCs/>
                <w:kern w:val="0"/>
                <w:sz w:val="22"/>
                <w:szCs w:val="22"/>
              </w:rPr>
            </w:pPr>
            <w:r>
              <w:rPr>
                <w:rFonts w:hint="eastAsia" w:ascii="宋体" w:hAnsi="宋体"/>
                <w:bCs/>
                <w:kern w:val="0"/>
                <w:sz w:val="22"/>
                <w:szCs w:val="22"/>
              </w:rPr>
              <w:t>15、采用分布式架构设计，支持为虚拟磁盘配置不同的存储策略以满足特定场景的需求，如系统盘和数据盘选择高性能策略，备份盘选择低性能策略；</w:t>
            </w:r>
          </w:p>
          <w:p w14:paraId="5B6D59F6">
            <w:pPr>
              <w:widowControl/>
              <w:jc w:val="left"/>
              <w:rPr>
                <w:rFonts w:ascii="宋体" w:hAnsi="宋体"/>
                <w:bCs/>
                <w:kern w:val="0"/>
                <w:sz w:val="22"/>
                <w:szCs w:val="22"/>
              </w:rPr>
            </w:pPr>
            <w:r>
              <w:rPr>
                <w:rFonts w:hint="eastAsia" w:ascii="宋体" w:hAnsi="宋体"/>
                <w:bCs/>
                <w:kern w:val="0"/>
                <w:sz w:val="22"/>
                <w:szCs w:val="22"/>
              </w:rPr>
              <w:t>16、支持呈现硬盘的状态，提供隔离硬盘、替换硬盘功能，消除硬盘异常对业务的影响；</w:t>
            </w:r>
          </w:p>
          <w:p w14:paraId="20EBE267">
            <w:pPr>
              <w:widowControl/>
              <w:jc w:val="left"/>
              <w:rPr>
                <w:rFonts w:ascii="宋体" w:hAnsi="宋体"/>
                <w:bCs/>
                <w:kern w:val="0"/>
                <w:sz w:val="22"/>
                <w:szCs w:val="22"/>
              </w:rPr>
            </w:pPr>
            <w:r>
              <w:rPr>
                <w:rFonts w:hint="eastAsia" w:ascii="宋体" w:hAnsi="宋体"/>
                <w:bCs/>
                <w:kern w:val="0"/>
                <w:sz w:val="22"/>
                <w:szCs w:val="22"/>
              </w:rPr>
              <w:t>▲17、支持选择多种克隆方式，包括快速全量克隆、全量克隆和链接克隆，可查看通过链接克隆的虚拟机是否运行正常，可以设置克隆完成后自动启动克隆虚拟机操作，</w:t>
            </w:r>
            <w:r>
              <w:rPr>
                <w:rStyle w:val="7"/>
                <w:rFonts w:hint="eastAsia"/>
              </w:rPr>
              <w:t>投标时须提供国家认可的第三方检测机构出具的CMA检测报告复印件并加盖；</w:t>
            </w:r>
          </w:p>
          <w:p w14:paraId="7EC5A1D6">
            <w:pPr>
              <w:widowControl/>
              <w:jc w:val="left"/>
              <w:rPr>
                <w:rFonts w:ascii="宋体" w:hAnsi="宋体"/>
                <w:bCs/>
                <w:kern w:val="0"/>
                <w:sz w:val="22"/>
                <w:szCs w:val="22"/>
              </w:rPr>
            </w:pPr>
            <w:r>
              <w:rPr>
                <w:rFonts w:hint="eastAsia" w:ascii="宋体" w:hAnsi="宋体"/>
                <w:bCs/>
                <w:kern w:val="0"/>
                <w:sz w:val="22"/>
                <w:szCs w:val="22"/>
              </w:rPr>
              <w:t>▲18、硬件故障对平台影响较大，也会影响数据安全，为保障业务在硬件故障后尽快恢复冗余数据保障，支持数据重建优先级调整，可以查看数据重建信息，包括重建的对象名称、类型、数据量和优先级等信息，支持对不同对象的重建优先级进行调整，保证重要的业务优先恢复，</w:t>
            </w:r>
            <w:r>
              <w:rPr>
                <w:rStyle w:val="7"/>
                <w:rFonts w:hint="eastAsia"/>
              </w:rPr>
              <w:t>投标时须提供国家认可的第三方检测机构出具的CMA检测报告复印件并加盖公章；</w:t>
            </w:r>
          </w:p>
          <w:p w14:paraId="1411A4EB">
            <w:pPr>
              <w:widowControl/>
              <w:jc w:val="left"/>
              <w:rPr>
                <w:rFonts w:ascii="宋体" w:hAnsi="宋体"/>
                <w:bCs/>
                <w:kern w:val="0"/>
                <w:sz w:val="22"/>
                <w:szCs w:val="22"/>
              </w:rPr>
            </w:pPr>
            <w:r>
              <w:rPr>
                <w:rFonts w:hint="eastAsia" w:ascii="宋体" w:hAnsi="宋体"/>
                <w:bCs/>
                <w:kern w:val="0"/>
                <w:sz w:val="22"/>
                <w:szCs w:val="22"/>
              </w:rPr>
              <w:t>▲19、支持硬盘寿命预测功能，可预估硬盘剩余可使用时间，进行实时预警，提醒用户在寿命到期之前可实现在对业务无影响的情况下安全更换硬盘；</w:t>
            </w:r>
            <w:r>
              <w:rPr>
                <w:rStyle w:val="7"/>
                <w:rFonts w:hint="eastAsia"/>
              </w:rPr>
              <w:t>投标时须提供国家认可的第三方检测机构出具的CMA检测报告复印件并加盖公章；</w:t>
            </w:r>
          </w:p>
          <w:p w14:paraId="73F67906">
            <w:pPr>
              <w:widowControl/>
              <w:jc w:val="left"/>
              <w:rPr>
                <w:rFonts w:ascii="宋体" w:hAnsi="宋体"/>
                <w:bCs/>
                <w:kern w:val="0"/>
                <w:sz w:val="22"/>
                <w:szCs w:val="22"/>
              </w:rPr>
            </w:pPr>
            <w:r>
              <w:rPr>
                <w:rFonts w:hint="eastAsia" w:ascii="宋体" w:hAnsi="宋体"/>
                <w:bCs/>
                <w:kern w:val="0"/>
                <w:sz w:val="22"/>
                <w:szCs w:val="22"/>
              </w:rPr>
              <w:t>▲20、支持创建分布式虚拟防火墙，可基于虚拟机、虚拟机组、虚拟机标签、IP、IP范围、IP组构建安全防火墙，当虚拟机在不同的物理节点之间迁移时，安全策略随之移动；</w:t>
            </w:r>
            <w:r>
              <w:rPr>
                <w:rStyle w:val="7"/>
                <w:rFonts w:hint="eastAsia"/>
              </w:rPr>
              <w:t>（</w:t>
            </w:r>
            <w:r>
              <w:rPr>
                <w:rFonts w:hint="eastAsia" w:ascii="宋体" w:hAnsi="宋体"/>
                <w:bCs/>
                <w:kern w:val="0"/>
                <w:sz w:val="22"/>
                <w:szCs w:val="22"/>
              </w:rPr>
              <w:t>需提供产品功能截图</w:t>
            </w:r>
            <w:r>
              <w:rPr>
                <w:rStyle w:val="7"/>
                <w:rFonts w:hint="eastAsia"/>
              </w:rPr>
              <w:t>）</w:t>
            </w:r>
          </w:p>
          <w:p w14:paraId="06EFF2F6">
            <w:pPr>
              <w:widowControl/>
              <w:jc w:val="left"/>
              <w:rPr>
                <w:rFonts w:ascii="宋体" w:hAnsi="宋体"/>
                <w:bCs/>
                <w:kern w:val="0"/>
                <w:sz w:val="22"/>
                <w:szCs w:val="22"/>
              </w:rPr>
            </w:pPr>
            <w:r>
              <w:rPr>
                <w:rFonts w:hint="eastAsia" w:ascii="宋体" w:hAnsi="宋体"/>
                <w:bCs/>
                <w:kern w:val="0"/>
                <w:sz w:val="22"/>
                <w:szCs w:val="22"/>
              </w:rPr>
              <w:t>21、支持配置虚拟路由器台数无限制，虚拟路由器支持HA功能，当虚拟路由器运行的主机出现故障时，可以实现故障自动恢复，保障业务的高可靠性；</w:t>
            </w:r>
          </w:p>
          <w:p w14:paraId="16E12DF8">
            <w:pPr>
              <w:widowControl/>
              <w:jc w:val="left"/>
              <w:rPr>
                <w:rFonts w:ascii="宋体" w:hAnsi="宋体"/>
                <w:bCs/>
                <w:kern w:val="0"/>
                <w:sz w:val="22"/>
                <w:szCs w:val="22"/>
              </w:rPr>
            </w:pPr>
            <w:r>
              <w:rPr>
                <w:rFonts w:hint="eastAsia" w:ascii="宋体" w:hAnsi="宋体"/>
                <w:bCs/>
                <w:kern w:val="0"/>
                <w:sz w:val="22"/>
                <w:szCs w:val="22"/>
              </w:rPr>
              <w:t>22、超融合需提供网络可视化组件，可在图形化界面上观察到所有虚拟机的流量走向与访问关系，包括源IP、目的IP、访问次数、服务类型等；</w:t>
            </w:r>
          </w:p>
          <w:p w14:paraId="0B820400">
            <w:pPr>
              <w:widowControl/>
              <w:jc w:val="left"/>
              <w:rPr>
                <w:rFonts w:ascii="宋体" w:hAnsi="宋体"/>
                <w:bCs/>
                <w:kern w:val="0"/>
                <w:sz w:val="22"/>
                <w:szCs w:val="22"/>
              </w:rPr>
            </w:pPr>
            <w:r>
              <w:rPr>
                <w:rFonts w:hint="eastAsia" w:ascii="宋体" w:hAnsi="宋体"/>
                <w:bCs/>
                <w:kern w:val="0"/>
                <w:sz w:val="22"/>
                <w:szCs w:val="22"/>
              </w:rPr>
              <w:t>23、在管理平台上可以通过拖拽虚拟设备图标和连线就能完成网络拓扑的构建，快速地实现整个业务逻辑，并且可以连接、开启、关闭虚拟网络设备，支持对整个平台虚拟设备实现统一的管理；</w:t>
            </w:r>
          </w:p>
          <w:p w14:paraId="7FB66238">
            <w:pPr>
              <w:widowControl/>
              <w:jc w:val="left"/>
              <w:rPr>
                <w:rFonts w:ascii="宋体" w:hAnsi="宋体"/>
                <w:bCs/>
                <w:kern w:val="0"/>
                <w:sz w:val="22"/>
                <w:szCs w:val="22"/>
              </w:rPr>
            </w:pPr>
            <w:r>
              <w:rPr>
                <w:rFonts w:hint="eastAsia" w:ascii="宋体" w:hAnsi="宋体"/>
                <w:bCs/>
                <w:kern w:val="0"/>
                <w:sz w:val="22"/>
                <w:szCs w:val="22"/>
              </w:rPr>
              <w:t>▲24、支持跳转连通性探测页面，可以设置探测对象信息，包括网口、对象类型、IP地址，可以点击开始探测按钮查看探测页面信息，可以在网络连通性探测页面查看网络探测是否成功；</w:t>
            </w:r>
            <w:r>
              <w:rPr>
                <w:rStyle w:val="7"/>
                <w:rFonts w:hint="eastAsia"/>
              </w:rPr>
              <w:t>投标时须提供国家认可的第三方检测机构出具的CMA检测报告复印件并加盖公章；</w:t>
            </w:r>
          </w:p>
          <w:p w14:paraId="3F998F60">
            <w:pPr>
              <w:widowControl/>
              <w:jc w:val="left"/>
              <w:rPr>
                <w:rFonts w:ascii="宋体" w:hAnsi="宋体"/>
                <w:bCs/>
                <w:kern w:val="0"/>
                <w:sz w:val="22"/>
                <w:szCs w:val="22"/>
              </w:rPr>
            </w:pPr>
            <w:r>
              <w:rPr>
                <w:rFonts w:hint="eastAsia" w:ascii="宋体" w:hAnsi="宋体"/>
                <w:bCs/>
                <w:kern w:val="0"/>
                <w:sz w:val="22"/>
                <w:szCs w:val="22"/>
              </w:rPr>
              <w:t>25、支持对oracle、sqlserver、Weblogic数据库及中间件监控，实现对数据库的语句的故障定位排错，执行时延分析；</w:t>
            </w:r>
          </w:p>
          <w:p w14:paraId="328B1A95">
            <w:pPr>
              <w:widowControl/>
              <w:jc w:val="left"/>
              <w:rPr>
                <w:rFonts w:ascii="宋体" w:hAnsi="宋体"/>
                <w:bCs/>
                <w:kern w:val="0"/>
                <w:sz w:val="22"/>
                <w:szCs w:val="22"/>
              </w:rPr>
            </w:pPr>
            <w:r>
              <w:rPr>
                <w:rFonts w:hint="eastAsia" w:ascii="宋体" w:hAnsi="宋体"/>
                <w:bCs/>
                <w:kern w:val="0"/>
                <w:sz w:val="22"/>
                <w:szCs w:val="22"/>
              </w:rPr>
              <w:t>26、分布式防火墙提供实时拦截日志显示，以及支持“数据直通ByPass”功能，出现问题快速定位问题。</w:t>
            </w:r>
          </w:p>
        </w:tc>
      </w:tr>
      <w:tr w14:paraId="3A011256">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6D0A23AA">
            <w:pPr>
              <w:widowControl/>
              <w:jc w:val="left"/>
              <w:rPr>
                <w:rFonts w:ascii="宋体" w:hAnsi="宋体"/>
                <w:bCs/>
                <w:kern w:val="0"/>
                <w:sz w:val="22"/>
                <w:szCs w:val="22"/>
              </w:rPr>
            </w:pPr>
            <w:r>
              <w:rPr>
                <w:rFonts w:hint="eastAsia" w:ascii="宋体" w:hAnsi="宋体"/>
                <w:bCs/>
                <w:kern w:val="0"/>
                <w:sz w:val="22"/>
                <w:szCs w:val="22"/>
              </w:rPr>
              <w:t>5</w:t>
            </w:r>
          </w:p>
        </w:tc>
        <w:tc>
          <w:tcPr>
            <w:tcW w:w="1216" w:type="dxa"/>
            <w:tcBorders>
              <w:top w:val="single" w:color="000000" w:sz="4" w:space="0"/>
              <w:left w:val="single" w:color="000000" w:sz="4" w:space="0"/>
              <w:bottom w:val="single" w:color="000000" w:sz="4" w:space="0"/>
              <w:right w:val="single" w:color="000000" w:sz="4" w:space="0"/>
            </w:tcBorders>
            <w:vAlign w:val="center"/>
          </w:tcPr>
          <w:p w14:paraId="11AF6F60">
            <w:pPr>
              <w:widowControl/>
              <w:jc w:val="left"/>
              <w:rPr>
                <w:rFonts w:ascii="宋体" w:hAnsi="宋体"/>
                <w:bCs/>
                <w:kern w:val="0"/>
                <w:sz w:val="22"/>
                <w:szCs w:val="22"/>
              </w:rPr>
            </w:pPr>
            <w:r>
              <w:rPr>
                <w:rFonts w:hint="eastAsia" w:ascii="宋体" w:hAnsi="宋体"/>
                <w:bCs/>
                <w:kern w:val="0"/>
                <w:sz w:val="22"/>
                <w:szCs w:val="22"/>
              </w:rPr>
              <w:t>服务器交换机</w:t>
            </w:r>
          </w:p>
        </w:tc>
        <w:tc>
          <w:tcPr>
            <w:tcW w:w="7289" w:type="dxa"/>
            <w:tcBorders>
              <w:top w:val="single" w:color="000000" w:sz="4" w:space="0"/>
              <w:left w:val="single" w:color="000000" w:sz="4" w:space="0"/>
              <w:bottom w:val="single" w:color="000000" w:sz="4" w:space="0"/>
              <w:right w:val="single" w:color="000000" w:sz="4" w:space="0"/>
            </w:tcBorders>
            <w:vAlign w:val="center"/>
          </w:tcPr>
          <w:p w14:paraId="52772084">
            <w:pPr>
              <w:widowControl/>
              <w:jc w:val="left"/>
              <w:rPr>
                <w:rFonts w:ascii="宋体" w:hAnsi="宋体"/>
                <w:bCs/>
                <w:kern w:val="0"/>
                <w:sz w:val="22"/>
                <w:szCs w:val="22"/>
              </w:rPr>
            </w:pPr>
            <w:r>
              <w:rPr>
                <w:rFonts w:hint="eastAsia" w:ascii="宋体" w:hAnsi="宋体"/>
                <w:bCs/>
                <w:kern w:val="0"/>
                <w:sz w:val="22"/>
                <w:szCs w:val="22"/>
              </w:rPr>
              <w:t>1、接口≥48个10G SFP+万兆光口（满配光模块），≥6个40GE QSFP+光口；交换</w:t>
            </w:r>
            <w:r>
              <w:rPr>
                <w:rFonts w:hint="eastAsia" w:ascii="宋体" w:hAnsi="宋体"/>
                <w:bCs/>
                <w:color w:val="auto"/>
                <w:kern w:val="0"/>
                <w:sz w:val="22"/>
                <w:szCs w:val="22"/>
              </w:rPr>
              <w:t>容量≥2</w:t>
            </w:r>
            <w:r>
              <w:rPr>
                <w:rFonts w:ascii="宋体" w:hAnsi="宋体"/>
                <w:bCs/>
                <w:color w:val="auto"/>
                <w:kern w:val="0"/>
                <w:sz w:val="22"/>
                <w:szCs w:val="22"/>
              </w:rPr>
              <w:t xml:space="preserve">.55 </w:t>
            </w:r>
            <w:r>
              <w:rPr>
                <w:rFonts w:hint="eastAsia" w:ascii="宋体" w:hAnsi="宋体"/>
                <w:bCs/>
                <w:color w:val="auto"/>
                <w:kern w:val="0"/>
                <w:sz w:val="22"/>
                <w:szCs w:val="22"/>
              </w:rPr>
              <w:t>Tbps /</w:t>
            </w:r>
            <w:r>
              <w:rPr>
                <w:rFonts w:ascii="宋体" w:hAnsi="宋体"/>
                <w:bCs/>
                <w:color w:val="auto"/>
                <w:kern w:val="0"/>
                <w:sz w:val="22"/>
                <w:szCs w:val="22"/>
              </w:rPr>
              <w:t xml:space="preserve">40.95 </w:t>
            </w:r>
            <w:r>
              <w:rPr>
                <w:rFonts w:hint="eastAsia" w:ascii="宋体" w:hAnsi="宋体"/>
                <w:bCs/>
                <w:color w:val="auto"/>
                <w:kern w:val="0"/>
                <w:sz w:val="22"/>
                <w:szCs w:val="22"/>
              </w:rPr>
              <w:t>Tbps，包转发率≥1</w:t>
            </w:r>
            <w:r>
              <w:rPr>
                <w:rFonts w:ascii="宋体" w:hAnsi="宋体"/>
                <w:bCs/>
                <w:color w:val="auto"/>
                <w:kern w:val="0"/>
                <w:sz w:val="22"/>
                <w:szCs w:val="22"/>
              </w:rPr>
              <w:t>255</w:t>
            </w:r>
            <w:r>
              <w:rPr>
                <w:rFonts w:hint="eastAsia" w:ascii="宋体" w:hAnsi="宋体"/>
                <w:bCs/>
                <w:color w:val="auto"/>
                <w:kern w:val="0"/>
                <w:sz w:val="22"/>
                <w:szCs w:val="22"/>
              </w:rPr>
              <w:t>Mpps /</w:t>
            </w:r>
            <w:r>
              <w:rPr>
                <w:rFonts w:ascii="宋体" w:hAnsi="宋体"/>
                <w:bCs/>
                <w:color w:val="auto"/>
                <w:kern w:val="0"/>
                <w:sz w:val="22"/>
                <w:szCs w:val="22"/>
              </w:rPr>
              <w:t xml:space="preserve">1610 </w:t>
            </w:r>
            <w:r>
              <w:rPr>
                <w:rFonts w:hint="eastAsia" w:ascii="宋体" w:hAnsi="宋体"/>
                <w:bCs/>
                <w:color w:val="auto"/>
                <w:kern w:val="0"/>
                <w:sz w:val="22"/>
                <w:szCs w:val="22"/>
              </w:rPr>
              <w:t>Mpps，冗余电源，并预留一个扩展可插拔电源槽位。</w:t>
            </w:r>
          </w:p>
          <w:p w14:paraId="2B7B8CEF">
            <w:pPr>
              <w:widowControl/>
              <w:jc w:val="left"/>
              <w:rPr>
                <w:rFonts w:ascii="宋体" w:hAnsi="宋体"/>
                <w:bCs/>
                <w:kern w:val="0"/>
                <w:sz w:val="22"/>
                <w:szCs w:val="22"/>
              </w:rPr>
            </w:pPr>
            <w:r>
              <w:rPr>
                <w:rFonts w:ascii="宋体" w:hAnsi="宋体"/>
                <w:bCs/>
                <w:kern w:val="0"/>
                <w:sz w:val="22"/>
                <w:szCs w:val="22"/>
              </w:rPr>
              <w:t>2、支持MAC地址≥32K，支持MAC地址自动学习；支持源MAC地址过滤；支持接口MAC地址学习个数限制；</w:t>
            </w:r>
          </w:p>
          <w:p w14:paraId="70B90E08">
            <w:pPr>
              <w:widowControl/>
              <w:jc w:val="left"/>
              <w:rPr>
                <w:rFonts w:ascii="宋体" w:hAnsi="宋体"/>
                <w:bCs/>
                <w:kern w:val="0"/>
                <w:sz w:val="22"/>
                <w:szCs w:val="22"/>
              </w:rPr>
            </w:pPr>
            <w:r>
              <w:rPr>
                <w:rFonts w:ascii="宋体" w:hAnsi="宋体"/>
                <w:bCs/>
                <w:kern w:val="0"/>
                <w:sz w:val="22"/>
                <w:szCs w:val="22"/>
              </w:rPr>
              <w:t>3、支持基于终端类型自动识别结果，禁止非法终端(例如私接路由器)接入</w:t>
            </w:r>
            <w:r>
              <w:rPr>
                <w:rFonts w:hint="eastAsia" w:ascii="宋体" w:hAnsi="宋体"/>
                <w:bCs/>
                <w:kern w:val="0"/>
                <w:sz w:val="22"/>
                <w:szCs w:val="22"/>
              </w:rPr>
              <w:t>，</w:t>
            </w:r>
            <w:r>
              <w:rPr>
                <w:rStyle w:val="7"/>
                <w:rFonts w:hint="eastAsia"/>
              </w:rPr>
              <w:t>投标时须提供国家认可的第三方检测机构出具的CMA检测报告复印件并加盖公章；</w:t>
            </w:r>
          </w:p>
          <w:p w14:paraId="26924242">
            <w:pPr>
              <w:widowControl/>
              <w:jc w:val="left"/>
              <w:rPr>
                <w:rFonts w:ascii="宋体" w:hAnsi="宋体"/>
                <w:bCs/>
                <w:color w:val="FF0000"/>
                <w:kern w:val="0"/>
                <w:sz w:val="22"/>
                <w:szCs w:val="22"/>
              </w:rPr>
            </w:pPr>
            <w:r>
              <w:rPr>
                <w:rFonts w:ascii="宋体" w:hAnsi="宋体"/>
                <w:bCs/>
                <w:kern w:val="0"/>
                <w:sz w:val="22"/>
                <w:szCs w:val="22"/>
              </w:rPr>
              <w:t>4、支持在交换机上创建东西向安全策略，实现全网安全风险拦截</w:t>
            </w:r>
            <w:r>
              <w:rPr>
                <w:rFonts w:hint="eastAsia" w:ascii="宋体" w:hAnsi="宋体"/>
                <w:bCs/>
                <w:kern w:val="0"/>
                <w:sz w:val="22"/>
                <w:szCs w:val="22"/>
              </w:rPr>
              <w:t>，</w:t>
            </w:r>
            <w:r>
              <w:rPr>
                <w:rStyle w:val="7"/>
                <w:rFonts w:hint="eastAsia"/>
              </w:rPr>
              <w:t>投标时须提供国家认可的第三方检测机构出具的CMA检测报告复印件并加盖公章；</w:t>
            </w:r>
          </w:p>
          <w:p w14:paraId="3DD45848">
            <w:pPr>
              <w:widowControl/>
              <w:jc w:val="left"/>
              <w:rPr>
                <w:rFonts w:ascii="宋体" w:hAnsi="宋体"/>
                <w:bCs/>
                <w:kern w:val="0"/>
                <w:sz w:val="22"/>
                <w:szCs w:val="22"/>
              </w:rPr>
            </w:pPr>
            <w:r>
              <w:rPr>
                <w:rFonts w:ascii="宋体" w:hAnsi="宋体"/>
                <w:bCs/>
                <w:kern w:val="0"/>
                <w:sz w:val="22"/>
                <w:szCs w:val="22"/>
              </w:rPr>
              <w:t xml:space="preserve"> </w:t>
            </w:r>
          </w:p>
        </w:tc>
      </w:tr>
      <w:tr w14:paraId="63814965">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2D11B">
            <w:pPr>
              <w:widowControl/>
              <w:jc w:val="left"/>
              <w:rPr>
                <w:rFonts w:ascii="宋体" w:hAnsi="宋体"/>
                <w:bCs/>
                <w:kern w:val="0"/>
                <w:sz w:val="22"/>
                <w:szCs w:val="22"/>
              </w:rPr>
            </w:pPr>
            <w:r>
              <w:rPr>
                <w:rFonts w:hint="eastAsia" w:ascii="宋体" w:hAnsi="宋体"/>
                <w:bCs/>
                <w:kern w:val="0"/>
                <w:sz w:val="22"/>
                <w:szCs w:val="22"/>
              </w:rPr>
              <w:t>6</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0D91">
            <w:pPr>
              <w:widowControl/>
              <w:jc w:val="left"/>
              <w:rPr>
                <w:rFonts w:ascii="宋体" w:hAnsi="宋体"/>
                <w:bCs/>
                <w:kern w:val="0"/>
                <w:sz w:val="22"/>
                <w:szCs w:val="22"/>
              </w:rPr>
            </w:pPr>
            <w:r>
              <w:rPr>
                <w:rFonts w:hint="eastAsia" w:ascii="宋体" w:hAnsi="宋体"/>
                <w:bCs/>
                <w:kern w:val="0"/>
                <w:sz w:val="22"/>
                <w:szCs w:val="22"/>
              </w:rPr>
              <w:t>存储交换机</w:t>
            </w:r>
          </w:p>
        </w:tc>
        <w:tc>
          <w:tcPr>
            <w:tcW w:w="7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11E0">
            <w:pPr>
              <w:widowControl/>
              <w:jc w:val="left"/>
              <w:rPr>
                <w:rFonts w:ascii="宋体" w:hAnsi="宋体"/>
                <w:bCs/>
                <w:kern w:val="0"/>
                <w:sz w:val="22"/>
                <w:szCs w:val="22"/>
              </w:rPr>
            </w:pPr>
            <w:r>
              <w:rPr>
                <w:rFonts w:hint="eastAsia" w:ascii="宋体" w:hAnsi="宋体"/>
                <w:bCs/>
                <w:kern w:val="0"/>
                <w:sz w:val="22"/>
                <w:szCs w:val="22"/>
              </w:rPr>
              <w:t>1、接口≥18个1</w:t>
            </w:r>
            <w:r>
              <w:rPr>
                <w:rFonts w:hint="eastAsia" w:ascii="宋体" w:hAnsi="宋体"/>
                <w:bCs/>
                <w:color w:val="auto"/>
                <w:kern w:val="0"/>
                <w:sz w:val="22"/>
                <w:szCs w:val="22"/>
              </w:rPr>
              <w:t>0/25GbE端口（满配光模块），≥4个40/100GbE可分离端口；包转发率≥2</w:t>
            </w:r>
            <w:r>
              <w:rPr>
                <w:rFonts w:ascii="宋体" w:hAnsi="宋体"/>
                <w:bCs/>
                <w:color w:val="auto"/>
                <w:kern w:val="0"/>
                <w:sz w:val="22"/>
                <w:szCs w:val="22"/>
              </w:rPr>
              <w:t>.51</w:t>
            </w:r>
            <w:r>
              <w:rPr>
                <w:rFonts w:hint="eastAsia" w:ascii="宋体" w:hAnsi="宋体"/>
                <w:bCs/>
                <w:color w:val="auto"/>
                <w:kern w:val="0"/>
                <w:sz w:val="22"/>
                <w:szCs w:val="22"/>
              </w:rPr>
              <w:t>Bpps；支</w:t>
            </w:r>
            <w:r>
              <w:rPr>
                <w:rFonts w:hint="eastAsia" w:ascii="宋体" w:hAnsi="宋体"/>
                <w:bCs/>
                <w:kern w:val="0"/>
                <w:sz w:val="22"/>
                <w:szCs w:val="22"/>
              </w:rPr>
              <w:t>持带内管理，可对接支持SNMP协议，提供Web UI及用于管理的USB控制台端口等；</w:t>
            </w:r>
          </w:p>
          <w:p w14:paraId="2CCDC049">
            <w:pPr>
              <w:widowControl/>
              <w:jc w:val="left"/>
              <w:rPr>
                <w:rFonts w:ascii="宋体" w:hAnsi="宋体"/>
                <w:bCs/>
                <w:kern w:val="0"/>
                <w:sz w:val="22"/>
                <w:szCs w:val="22"/>
              </w:rPr>
            </w:pPr>
            <w:r>
              <w:rPr>
                <w:rFonts w:ascii="宋体" w:hAnsi="宋体"/>
                <w:bCs/>
                <w:kern w:val="0"/>
                <w:sz w:val="22"/>
                <w:szCs w:val="22"/>
              </w:rPr>
              <w:t>2、支持MAC地址≥32K，支持MAC地址自动学习；支持源MAC地址过滤；支持接口MAC地址学习个数限制；</w:t>
            </w:r>
          </w:p>
          <w:p w14:paraId="3B403A5E">
            <w:pPr>
              <w:widowControl/>
              <w:jc w:val="left"/>
              <w:rPr>
                <w:rFonts w:ascii="宋体" w:hAnsi="宋体"/>
                <w:bCs/>
                <w:kern w:val="0"/>
                <w:sz w:val="22"/>
                <w:szCs w:val="22"/>
              </w:rPr>
            </w:pPr>
            <w:r>
              <w:rPr>
                <w:rFonts w:ascii="宋体" w:hAnsi="宋体"/>
                <w:bCs/>
                <w:kern w:val="0"/>
                <w:sz w:val="22"/>
                <w:szCs w:val="22"/>
              </w:rPr>
              <w:t>3、支持基于终端类型自动识别结果，禁止非法终端(例如私接路由器)接入</w:t>
            </w:r>
            <w:r>
              <w:rPr>
                <w:rFonts w:hint="eastAsia" w:ascii="宋体" w:hAnsi="宋体"/>
                <w:bCs/>
                <w:kern w:val="0"/>
                <w:sz w:val="22"/>
                <w:szCs w:val="22"/>
              </w:rPr>
              <w:t>，</w:t>
            </w:r>
            <w:r>
              <w:rPr>
                <w:rStyle w:val="7"/>
                <w:rFonts w:hint="eastAsia"/>
              </w:rPr>
              <w:t>投标时须提供国家认可的第三方检测机构出具的CMA检测报告复印件并加盖公章；</w:t>
            </w:r>
          </w:p>
          <w:p w14:paraId="361F7FAB">
            <w:pPr>
              <w:widowControl/>
              <w:jc w:val="left"/>
              <w:rPr>
                <w:rFonts w:ascii="宋体" w:hAnsi="宋体"/>
                <w:bCs/>
                <w:color w:val="FF0000"/>
                <w:kern w:val="0"/>
                <w:sz w:val="22"/>
                <w:szCs w:val="22"/>
              </w:rPr>
            </w:pPr>
            <w:r>
              <w:rPr>
                <w:rFonts w:ascii="宋体" w:hAnsi="宋体"/>
                <w:bCs/>
                <w:kern w:val="0"/>
                <w:sz w:val="22"/>
                <w:szCs w:val="22"/>
              </w:rPr>
              <w:t>4、支持在交换机上创建东西向安全策略，实现全网安全风险拦截</w:t>
            </w:r>
            <w:r>
              <w:rPr>
                <w:rFonts w:hint="eastAsia" w:ascii="宋体" w:hAnsi="宋体"/>
                <w:bCs/>
                <w:kern w:val="0"/>
                <w:sz w:val="22"/>
                <w:szCs w:val="22"/>
              </w:rPr>
              <w:t>，</w:t>
            </w:r>
            <w:r>
              <w:rPr>
                <w:rStyle w:val="7"/>
                <w:rFonts w:hint="eastAsia"/>
              </w:rPr>
              <w:t>投标时须提供国家认可的第三方检测机构出具的CMA检测报告复印件并加盖公章；</w:t>
            </w:r>
          </w:p>
          <w:p w14:paraId="062700AD">
            <w:pPr>
              <w:widowControl/>
              <w:jc w:val="left"/>
              <w:rPr>
                <w:rFonts w:ascii="宋体" w:hAnsi="宋体"/>
                <w:bCs/>
                <w:kern w:val="0"/>
                <w:sz w:val="22"/>
                <w:szCs w:val="22"/>
              </w:rPr>
            </w:pPr>
          </w:p>
        </w:tc>
      </w:tr>
      <w:tr w14:paraId="4CBF02DE">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0EE43A8E">
            <w:pPr>
              <w:widowControl/>
              <w:jc w:val="left"/>
              <w:rPr>
                <w:rFonts w:ascii="宋体" w:hAnsi="宋体"/>
                <w:bCs/>
                <w:kern w:val="0"/>
                <w:sz w:val="22"/>
                <w:szCs w:val="22"/>
              </w:rPr>
            </w:pPr>
            <w:r>
              <w:rPr>
                <w:rFonts w:hint="eastAsia" w:ascii="宋体" w:hAnsi="宋体"/>
                <w:bCs/>
                <w:kern w:val="0"/>
                <w:sz w:val="22"/>
                <w:szCs w:val="22"/>
              </w:rPr>
              <w:t>7</w:t>
            </w:r>
          </w:p>
        </w:tc>
        <w:tc>
          <w:tcPr>
            <w:tcW w:w="1216" w:type="dxa"/>
            <w:tcBorders>
              <w:top w:val="single" w:color="000000" w:sz="4" w:space="0"/>
              <w:left w:val="single" w:color="000000" w:sz="4" w:space="0"/>
              <w:bottom w:val="single" w:color="000000" w:sz="4" w:space="0"/>
              <w:right w:val="single" w:color="000000" w:sz="4" w:space="0"/>
            </w:tcBorders>
            <w:vAlign w:val="center"/>
          </w:tcPr>
          <w:p w14:paraId="5738DE77">
            <w:pPr>
              <w:widowControl/>
              <w:jc w:val="left"/>
              <w:rPr>
                <w:rFonts w:ascii="宋体" w:hAnsi="宋体"/>
                <w:bCs/>
                <w:kern w:val="0"/>
                <w:sz w:val="22"/>
                <w:szCs w:val="22"/>
              </w:rPr>
            </w:pPr>
            <w:r>
              <w:rPr>
                <w:rFonts w:hint="eastAsia" w:ascii="宋体" w:hAnsi="宋体"/>
                <w:bCs/>
                <w:kern w:val="0"/>
                <w:sz w:val="22"/>
                <w:szCs w:val="22"/>
              </w:rPr>
              <w:t>管理交换机</w:t>
            </w:r>
          </w:p>
        </w:tc>
        <w:tc>
          <w:tcPr>
            <w:tcW w:w="7289" w:type="dxa"/>
            <w:tcBorders>
              <w:top w:val="single" w:color="000000" w:sz="4" w:space="0"/>
              <w:left w:val="single" w:color="000000" w:sz="4" w:space="0"/>
              <w:bottom w:val="single" w:color="000000" w:sz="4" w:space="0"/>
              <w:right w:val="single" w:color="000000" w:sz="4" w:space="0"/>
            </w:tcBorders>
            <w:vAlign w:val="center"/>
          </w:tcPr>
          <w:p w14:paraId="37FA14B5">
            <w:pPr>
              <w:widowControl/>
              <w:jc w:val="left"/>
              <w:rPr>
                <w:rFonts w:ascii="宋体" w:hAnsi="宋体"/>
                <w:bCs/>
                <w:kern w:val="0"/>
                <w:sz w:val="22"/>
                <w:szCs w:val="22"/>
              </w:rPr>
            </w:pPr>
            <w:r>
              <w:rPr>
                <w:rFonts w:hint="eastAsia" w:ascii="宋体" w:hAnsi="宋体"/>
                <w:bCs/>
                <w:kern w:val="0"/>
                <w:sz w:val="22"/>
                <w:szCs w:val="22"/>
              </w:rPr>
              <w:t>1、接口≥48个千兆电口，≥4个万兆光口（满配</w:t>
            </w:r>
            <w:r>
              <w:rPr>
                <w:rFonts w:hint="eastAsia" w:ascii="宋体" w:hAnsi="宋体"/>
                <w:bCs/>
                <w:color w:val="auto"/>
                <w:kern w:val="0"/>
                <w:sz w:val="22"/>
                <w:szCs w:val="22"/>
              </w:rPr>
              <w:t>光模块）；交换容量≥4</w:t>
            </w:r>
            <w:r>
              <w:rPr>
                <w:rFonts w:ascii="宋体" w:hAnsi="宋体"/>
                <w:bCs/>
                <w:color w:val="auto"/>
                <w:kern w:val="0"/>
                <w:sz w:val="22"/>
                <w:szCs w:val="22"/>
              </w:rPr>
              <w:t xml:space="preserve">30 </w:t>
            </w:r>
            <w:r>
              <w:rPr>
                <w:rFonts w:hint="eastAsia" w:ascii="宋体" w:hAnsi="宋体"/>
                <w:bCs/>
                <w:color w:val="auto"/>
                <w:kern w:val="0"/>
                <w:sz w:val="22"/>
                <w:szCs w:val="22"/>
              </w:rPr>
              <w:t>Gbps/</w:t>
            </w:r>
            <w:r>
              <w:rPr>
                <w:rFonts w:ascii="宋体" w:hAnsi="宋体"/>
                <w:bCs/>
                <w:color w:val="auto"/>
                <w:kern w:val="0"/>
                <w:sz w:val="22"/>
                <w:szCs w:val="22"/>
              </w:rPr>
              <w:t xml:space="preserve">4.30 </w:t>
            </w:r>
            <w:r>
              <w:rPr>
                <w:rFonts w:hint="eastAsia" w:ascii="宋体" w:hAnsi="宋体"/>
                <w:bCs/>
                <w:color w:val="auto"/>
                <w:kern w:val="0"/>
                <w:sz w:val="22"/>
                <w:szCs w:val="22"/>
              </w:rPr>
              <w:t>Tbps，包转发率≥1</w:t>
            </w:r>
            <w:r>
              <w:rPr>
                <w:rFonts w:ascii="宋体" w:hAnsi="宋体"/>
                <w:bCs/>
                <w:color w:val="auto"/>
                <w:kern w:val="0"/>
                <w:sz w:val="22"/>
                <w:szCs w:val="22"/>
              </w:rPr>
              <w:t xml:space="preserve">95 </w:t>
            </w:r>
            <w:r>
              <w:rPr>
                <w:rFonts w:hint="eastAsia" w:ascii="宋体" w:hAnsi="宋体"/>
                <w:bCs/>
                <w:color w:val="auto"/>
                <w:kern w:val="0"/>
                <w:sz w:val="22"/>
                <w:szCs w:val="22"/>
              </w:rPr>
              <w:t>Mpps/</w:t>
            </w:r>
            <w:r>
              <w:rPr>
                <w:rFonts w:ascii="宋体" w:hAnsi="宋体"/>
                <w:bCs/>
                <w:color w:val="auto"/>
                <w:kern w:val="0"/>
                <w:sz w:val="22"/>
                <w:szCs w:val="22"/>
              </w:rPr>
              <w:t>221</w:t>
            </w:r>
            <w:r>
              <w:rPr>
                <w:rFonts w:hint="eastAsia" w:ascii="宋体" w:hAnsi="宋体"/>
                <w:bCs/>
                <w:color w:val="auto"/>
                <w:kern w:val="0"/>
                <w:sz w:val="22"/>
                <w:szCs w:val="22"/>
              </w:rPr>
              <w:t>Mpps，并预留一个扩展可插拔电源槽位。</w:t>
            </w:r>
          </w:p>
          <w:p w14:paraId="20A8CFC0">
            <w:pPr>
              <w:widowControl/>
              <w:jc w:val="left"/>
              <w:rPr>
                <w:rFonts w:ascii="宋体" w:hAnsi="宋体"/>
                <w:bCs/>
                <w:kern w:val="0"/>
                <w:sz w:val="22"/>
                <w:szCs w:val="22"/>
              </w:rPr>
            </w:pPr>
            <w:r>
              <w:rPr>
                <w:rFonts w:ascii="宋体" w:hAnsi="宋体"/>
                <w:bCs/>
                <w:kern w:val="0"/>
                <w:sz w:val="22"/>
                <w:szCs w:val="22"/>
              </w:rPr>
              <w:t>2、支持MAC地址≥32K，支持MAC地址自动学习；支持源MAC地址过滤；支持接口MAC地址学习个数限制；</w:t>
            </w:r>
          </w:p>
          <w:p w14:paraId="42A47FF9">
            <w:pPr>
              <w:widowControl/>
              <w:jc w:val="left"/>
              <w:rPr>
                <w:rStyle w:val="7"/>
              </w:rPr>
            </w:pPr>
            <w:r>
              <w:rPr>
                <w:rFonts w:ascii="宋体" w:hAnsi="宋体"/>
                <w:bCs/>
                <w:kern w:val="0"/>
                <w:sz w:val="22"/>
                <w:szCs w:val="22"/>
              </w:rPr>
              <w:t>3、支持基于终端类型自动识别结果，禁止非法终端(例如私接路由器)接入</w:t>
            </w:r>
            <w:r>
              <w:rPr>
                <w:rFonts w:hint="eastAsia" w:ascii="宋体" w:hAnsi="宋体"/>
                <w:bCs/>
                <w:kern w:val="0"/>
                <w:sz w:val="22"/>
                <w:szCs w:val="22"/>
              </w:rPr>
              <w:t>，</w:t>
            </w:r>
            <w:r>
              <w:rPr>
                <w:rStyle w:val="7"/>
                <w:rFonts w:hint="eastAsia"/>
              </w:rPr>
              <w:t>投标时须提供国家认可的第三方检测机构出具的CMA检测报告复印件并加盖公章；</w:t>
            </w:r>
          </w:p>
          <w:p w14:paraId="0EFDC958">
            <w:pPr>
              <w:widowControl/>
              <w:jc w:val="left"/>
              <w:rPr>
                <w:rFonts w:ascii="宋体" w:hAnsi="宋体"/>
                <w:bCs/>
                <w:color w:val="FF0000"/>
                <w:kern w:val="0"/>
                <w:sz w:val="22"/>
                <w:szCs w:val="22"/>
              </w:rPr>
            </w:pPr>
            <w:r>
              <w:rPr>
                <w:rFonts w:ascii="宋体" w:hAnsi="宋体"/>
                <w:bCs/>
                <w:kern w:val="0"/>
                <w:sz w:val="22"/>
                <w:szCs w:val="22"/>
              </w:rPr>
              <w:t>4、支持在交换机上创建东西向安全策略，实现全网安全风险拦截</w:t>
            </w:r>
            <w:r>
              <w:rPr>
                <w:rFonts w:hint="eastAsia" w:ascii="宋体" w:hAnsi="宋体"/>
                <w:bCs/>
                <w:kern w:val="0"/>
                <w:sz w:val="22"/>
                <w:szCs w:val="22"/>
              </w:rPr>
              <w:t>，</w:t>
            </w:r>
            <w:r>
              <w:rPr>
                <w:rStyle w:val="7"/>
                <w:rFonts w:hint="eastAsia"/>
              </w:rPr>
              <w:t>投标时须提供国家认可的第三方检测机构出具的CMA检测报告复印件并加盖公章；</w:t>
            </w:r>
          </w:p>
        </w:tc>
      </w:tr>
      <w:tr w14:paraId="62BA3A3D">
        <w:tblPrEx>
          <w:tblCellMar>
            <w:top w:w="0" w:type="dxa"/>
            <w:left w:w="108" w:type="dxa"/>
            <w:bottom w:w="0" w:type="dxa"/>
            <w:right w:w="108" w:type="dxa"/>
          </w:tblCellMar>
        </w:tblPrEx>
        <w:trPr>
          <w:trHeight w:val="280" w:hRule="atLeast"/>
        </w:trPr>
        <w:tc>
          <w:tcPr>
            <w:tcW w:w="704" w:type="dxa"/>
            <w:vMerge w:val="restart"/>
            <w:tcBorders>
              <w:top w:val="single" w:color="000000" w:sz="4" w:space="0"/>
              <w:left w:val="single" w:color="000000" w:sz="4" w:space="0"/>
              <w:right w:val="single" w:color="000000" w:sz="4" w:space="0"/>
            </w:tcBorders>
            <w:vAlign w:val="center"/>
          </w:tcPr>
          <w:p w14:paraId="03FC0F3B">
            <w:pPr>
              <w:widowControl/>
              <w:jc w:val="left"/>
              <w:rPr>
                <w:rFonts w:ascii="宋体" w:hAnsi="宋体"/>
                <w:bCs/>
                <w:kern w:val="0"/>
                <w:sz w:val="22"/>
                <w:szCs w:val="22"/>
              </w:rPr>
            </w:pPr>
            <w:r>
              <w:rPr>
                <w:rFonts w:hint="eastAsia" w:ascii="宋体" w:hAnsi="宋体"/>
                <w:bCs/>
                <w:kern w:val="0"/>
                <w:sz w:val="22"/>
                <w:szCs w:val="22"/>
              </w:rPr>
              <w:t>8</w:t>
            </w:r>
          </w:p>
        </w:tc>
        <w:tc>
          <w:tcPr>
            <w:tcW w:w="1216" w:type="dxa"/>
            <w:vMerge w:val="restart"/>
            <w:tcBorders>
              <w:top w:val="single" w:color="000000" w:sz="4" w:space="0"/>
              <w:left w:val="single" w:color="000000" w:sz="4" w:space="0"/>
              <w:right w:val="single" w:color="000000" w:sz="4" w:space="0"/>
            </w:tcBorders>
            <w:vAlign w:val="center"/>
          </w:tcPr>
          <w:p w14:paraId="6FA1F3F6">
            <w:pPr>
              <w:widowControl/>
              <w:jc w:val="left"/>
              <w:rPr>
                <w:rFonts w:ascii="宋体" w:hAnsi="宋体"/>
                <w:bCs/>
                <w:kern w:val="0"/>
                <w:sz w:val="22"/>
                <w:szCs w:val="22"/>
              </w:rPr>
            </w:pPr>
            <w:r>
              <w:rPr>
                <w:rFonts w:hint="eastAsia" w:ascii="宋体" w:hAnsi="宋体"/>
                <w:bCs/>
                <w:kern w:val="0"/>
                <w:sz w:val="22"/>
                <w:szCs w:val="22"/>
              </w:rPr>
              <w:t>内存扩容</w:t>
            </w:r>
          </w:p>
        </w:tc>
        <w:tc>
          <w:tcPr>
            <w:tcW w:w="7289" w:type="dxa"/>
            <w:tcBorders>
              <w:top w:val="single" w:color="000000" w:sz="4" w:space="0"/>
              <w:left w:val="single" w:color="000000" w:sz="4" w:space="0"/>
              <w:bottom w:val="single" w:color="000000" w:sz="4" w:space="0"/>
              <w:right w:val="single" w:color="000000" w:sz="4" w:space="0"/>
            </w:tcBorders>
            <w:vAlign w:val="center"/>
          </w:tcPr>
          <w:p w14:paraId="38ECD3A5">
            <w:pPr>
              <w:widowControl/>
              <w:jc w:val="left"/>
              <w:rPr>
                <w:rFonts w:ascii="宋体" w:hAnsi="宋体"/>
                <w:bCs/>
                <w:kern w:val="0"/>
                <w:sz w:val="22"/>
                <w:szCs w:val="22"/>
              </w:rPr>
            </w:pPr>
            <w:r>
              <w:rPr>
                <w:rFonts w:hint="eastAsia" w:ascii="宋体" w:hAnsi="宋体"/>
                <w:bCs/>
                <w:kern w:val="0"/>
                <w:sz w:val="22"/>
                <w:szCs w:val="22"/>
              </w:rPr>
              <w:t>1.DDR4-2933P-64G：64GB DDR4-2933P-R</w:t>
            </w:r>
          </w:p>
        </w:tc>
      </w:tr>
      <w:tr w14:paraId="6137A807">
        <w:tblPrEx>
          <w:tblCellMar>
            <w:top w:w="0" w:type="dxa"/>
            <w:left w:w="108" w:type="dxa"/>
            <w:bottom w:w="0" w:type="dxa"/>
            <w:right w:w="108" w:type="dxa"/>
          </w:tblCellMar>
        </w:tblPrEx>
        <w:trPr>
          <w:trHeight w:val="438" w:hRule="atLeast"/>
        </w:trPr>
        <w:tc>
          <w:tcPr>
            <w:tcW w:w="704" w:type="dxa"/>
            <w:vMerge w:val="continue"/>
            <w:tcBorders>
              <w:left w:val="single" w:color="000000" w:sz="4" w:space="0"/>
              <w:bottom w:val="single" w:color="000000" w:sz="4" w:space="0"/>
              <w:right w:val="single" w:color="000000" w:sz="4" w:space="0"/>
            </w:tcBorders>
            <w:vAlign w:val="center"/>
          </w:tcPr>
          <w:p w14:paraId="15E0FFDF">
            <w:pPr>
              <w:widowControl/>
              <w:jc w:val="left"/>
              <w:rPr>
                <w:rFonts w:ascii="宋体" w:hAnsi="宋体"/>
                <w:bCs/>
                <w:kern w:val="0"/>
                <w:sz w:val="22"/>
                <w:szCs w:val="22"/>
              </w:rPr>
            </w:pPr>
          </w:p>
        </w:tc>
        <w:tc>
          <w:tcPr>
            <w:tcW w:w="1216" w:type="dxa"/>
            <w:vMerge w:val="continue"/>
            <w:tcBorders>
              <w:left w:val="single" w:color="000000" w:sz="4" w:space="0"/>
              <w:bottom w:val="single" w:color="000000" w:sz="4" w:space="0"/>
              <w:right w:val="single" w:color="000000" w:sz="4" w:space="0"/>
            </w:tcBorders>
            <w:vAlign w:val="center"/>
          </w:tcPr>
          <w:p w14:paraId="42BE4332">
            <w:pPr>
              <w:widowControl/>
              <w:jc w:val="left"/>
              <w:rPr>
                <w:rFonts w:ascii="宋体" w:hAnsi="宋体"/>
                <w:bCs/>
                <w:kern w:val="0"/>
                <w:sz w:val="22"/>
                <w:szCs w:val="22"/>
              </w:rPr>
            </w:pPr>
          </w:p>
        </w:tc>
        <w:tc>
          <w:tcPr>
            <w:tcW w:w="7289" w:type="dxa"/>
            <w:tcBorders>
              <w:top w:val="single" w:color="000000" w:sz="4" w:space="0"/>
              <w:left w:val="single" w:color="000000" w:sz="4" w:space="0"/>
              <w:bottom w:val="single" w:color="000000" w:sz="4" w:space="0"/>
              <w:right w:val="single" w:color="000000" w:sz="4" w:space="0"/>
            </w:tcBorders>
            <w:vAlign w:val="center"/>
          </w:tcPr>
          <w:p w14:paraId="275BCDA9">
            <w:pPr>
              <w:widowControl/>
              <w:jc w:val="left"/>
              <w:rPr>
                <w:rFonts w:ascii="宋体" w:hAnsi="宋体"/>
                <w:bCs/>
                <w:kern w:val="0"/>
                <w:sz w:val="22"/>
                <w:szCs w:val="22"/>
              </w:rPr>
            </w:pPr>
            <w:r>
              <w:rPr>
                <w:rFonts w:hint="eastAsia" w:ascii="宋体" w:hAnsi="宋体"/>
                <w:bCs/>
                <w:kern w:val="0"/>
                <w:sz w:val="22"/>
                <w:szCs w:val="22"/>
              </w:rPr>
              <w:t>2.DDR4-2933P-32G：32GB DDR4-2933P-R</w:t>
            </w:r>
          </w:p>
        </w:tc>
      </w:tr>
      <w:tr w14:paraId="015D2475">
        <w:tblPrEx>
          <w:tblCellMar>
            <w:top w:w="0" w:type="dxa"/>
            <w:left w:w="108" w:type="dxa"/>
            <w:bottom w:w="0" w:type="dxa"/>
            <w:right w:w="108" w:type="dxa"/>
          </w:tblCellMar>
        </w:tblPrEx>
        <w:trPr>
          <w:trHeight w:val="28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1C93350F">
            <w:pPr>
              <w:widowControl/>
              <w:jc w:val="left"/>
              <w:rPr>
                <w:rFonts w:ascii="宋体" w:hAnsi="宋体"/>
                <w:bCs/>
                <w:kern w:val="0"/>
                <w:sz w:val="22"/>
                <w:szCs w:val="22"/>
              </w:rPr>
            </w:pPr>
            <w:r>
              <w:rPr>
                <w:rFonts w:hint="eastAsia" w:ascii="宋体" w:hAnsi="宋体"/>
                <w:bCs/>
                <w:kern w:val="0"/>
                <w:sz w:val="22"/>
                <w:szCs w:val="22"/>
              </w:rPr>
              <w:t>9</w:t>
            </w:r>
          </w:p>
        </w:tc>
        <w:tc>
          <w:tcPr>
            <w:tcW w:w="1216" w:type="dxa"/>
            <w:tcBorders>
              <w:top w:val="single" w:color="000000" w:sz="4" w:space="0"/>
              <w:left w:val="single" w:color="000000" w:sz="4" w:space="0"/>
              <w:bottom w:val="single" w:color="000000" w:sz="4" w:space="0"/>
              <w:right w:val="single" w:color="000000" w:sz="4" w:space="0"/>
            </w:tcBorders>
            <w:vAlign w:val="center"/>
          </w:tcPr>
          <w:p w14:paraId="0A7438FA">
            <w:pPr>
              <w:widowControl/>
              <w:jc w:val="left"/>
              <w:rPr>
                <w:rFonts w:ascii="宋体" w:hAnsi="宋体"/>
                <w:bCs/>
                <w:kern w:val="0"/>
                <w:sz w:val="22"/>
                <w:szCs w:val="22"/>
              </w:rPr>
            </w:pPr>
            <w:r>
              <w:rPr>
                <w:rFonts w:hint="eastAsia" w:ascii="宋体" w:hAnsi="宋体"/>
                <w:bCs/>
                <w:kern w:val="0"/>
                <w:sz w:val="22"/>
                <w:szCs w:val="22"/>
              </w:rPr>
              <w:t>分布式存储</w:t>
            </w:r>
          </w:p>
        </w:tc>
        <w:tc>
          <w:tcPr>
            <w:tcW w:w="7289" w:type="dxa"/>
            <w:tcBorders>
              <w:top w:val="single" w:color="000000" w:sz="4" w:space="0"/>
              <w:left w:val="single" w:color="000000" w:sz="4" w:space="0"/>
              <w:bottom w:val="single" w:color="000000" w:sz="4" w:space="0"/>
              <w:right w:val="single" w:color="000000" w:sz="4" w:space="0"/>
            </w:tcBorders>
            <w:vAlign w:val="center"/>
          </w:tcPr>
          <w:p w14:paraId="135557A0">
            <w:pPr>
              <w:widowControl/>
              <w:jc w:val="left"/>
              <w:rPr>
                <w:rFonts w:ascii="宋体" w:hAnsi="宋体"/>
                <w:bCs/>
                <w:kern w:val="0"/>
                <w:sz w:val="22"/>
                <w:szCs w:val="22"/>
              </w:rPr>
            </w:pPr>
            <w:r>
              <w:rPr>
                <w:rFonts w:hint="eastAsia" w:ascii="宋体" w:hAnsi="宋体"/>
                <w:bCs/>
                <w:kern w:val="0"/>
                <w:sz w:val="22"/>
                <w:szCs w:val="22"/>
              </w:rPr>
              <w:t>1、规格：2U，内存≥4*32GB，系统盘≥2*240GB SATA SSD，缓存盘≥2*3.2T NVME SSD，数据盘≥4*12T 机械硬盘，标配盘位数</w:t>
            </w:r>
            <w:r>
              <w:rPr>
                <w:rFonts w:hint="eastAsia" w:ascii="宋体" w:hAnsi="宋体"/>
                <w:bCs/>
                <w:kern w:val="0"/>
                <w:sz w:val="22"/>
                <w:szCs w:val="22"/>
                <w:lang w:eastAsia="zh-CN"/>
              </w:rPr>
              <w:t>。</w:t>
            </w:r>
          </w:p>
          <w:p w14:paraId="13DE9E2A">
            <w:pPr>
              <w:widowControl/>
              <w:jc w:val="left"/>
              <w:rPr>
                <w:rFonts w:ascii="宋体" w:hAnsi="宋体"/>
                <w:bCs/>
                <w:kern w:val="0"/>
                <w:sz w:val="22"/>
                <w:szCs w:val="22"/>
              </w:rPr>
            </w:pPr>
            <w:r>
              <w:rPr>
                <w:rFonts w:hint="eastAsia" w:ascii="宋体" w:hAnsi="宋体"/>
                <w:bCs/>
                <w:kern w:val="0"/>
                <w:sz w:val="22"/>
                <w:szCs w:val="22"/>
                <w:lang w:val="en-US" w:eastAsia="zh-CN"/>
              </w:rPr>
              <w:t>2</w:t>
            </w:r>
            <w:r>
              <w:rPr>
                <w:rFonts w:hint="eastAsia" w:ascii="宋体" w:hAnsi="宋体"/>
                <w:bCs/>
                <w:kern w:val="0"/>
                <w:sz w:val="22"/>
                <w:szCs w:val="22"/>
              </w:rPr>
              <w:t>、电源：冗余电源，接口≥4千兆电口+4万兆光口+2万兆光口（25G）。</w:t>
            </w:r>
          </w:p>
          <w:p w14:paraId="1A993472">
            <w:pPr>
              <w:widowControl/>
              <w:jc w:val="left"/>
              <w:rPr>
                <w:rFonts w:ascii="宋体" w:hAnsi="宋体"/>
                <w:bCs/>
                <w:kern w:val="0"/>
                <w:sz w:val="22"/>
                <w:szCs w:val="22"/>
              </w:rPr>
            </w:pPr>
            <w:r>
              <w:rPr>
                <w:rFonts w:hint="eastAsia" w:ascii="宋体" w:hAnsi="宋体"/>
                <w:bCs/>
                <w:kern w:val="0"/>
                <w:sz w:val="22"/>
                <w:szCs w:val="22"/>
                <w:lang w:val="en-US" w:eastAsia="zh-CN"/>
              </w:rPr>
              <w:t>3</w:t>
            </w:r>
            <w:r>
              <w:rPr>
                <w:rFonts w:hint="eastAsia" w:ascii="宋体" w:hAnsi="宋体"/>
                <w:bCs/>
                <w:kern w:val="0"/>
                <w:sz w:val="22"/>
                <w:szCs w:val="22"/>
              </w:rPr>
              <w:t>、含裸容量存储软件授权≥48T，采用4+2（EC纠删码技术）。存储分为硬件和软件两个部分，硬件使用通用X86服务器，软硬件解耦。软件部分按容量进行统一授权，同时提供块、文件、对象服务，软件一次授权终身使用，快照、缓存加速池等高级功能全部免费开放，无需重复付费。</w:t>
            </w:r>
          </w:p>
          <w:p w14:paraId="16FAAA59">
            <w:r>
              <w:rPr>
                <w:rFonts w:hint="eastAsia" w:ascii="宋体" w:hAnsi="宋体"/>
                <w:bCs/>
                <w:kern w:val="0"/>
                <w:sz w:val="22"/>
                <w:szCs w:val="22"/>
              </w:rPr>
              <w:t>▲</w:t>
            </w:r>
            <w:r>
              <w:rPr>
                <w:rFonts w:hint="eastAsia" w:ascii="宋体" w:hAnsi="宋体"/>
                <w:bCs/>
                <w:kern w:val="0"/>
                <w:sz w:val="22"/>
                <w:szCs w:val="22"/>
                <w:lang w:val="en-US" w:eastAsia="zh-CN"/>
              </w:rPr>
              <w:t>4</w:t>
            </w:r>
            <w:r>
              <w:rPr>
                <w:rFonts w:hint="eastAsia" w:ascii="宋体" w:hAnsi="宋体"/>
                <w:bCs/>
                <w:kern w:val="0"/>
                <w:sz w:val="22"/>
                <w:szCs w:val="22"/>
              </w:rPr>
              <w:t>、支持数据自动重建机制，当主机或者磁盘故障后，系统将按照设置中预留的时间用于确认故障，超时将进行自动重建，快速恢复数据的冗余度，确保用户数据的可靠性和安全性；（需提供产品功能截图）</w:t>
            </w:r>
          </w:p>
          <w:p w14:paraId="617583AF">
            <w:pPr>
              <w:widowControl/>
              <w:jc w:val="left"/>
              <w:rPr>
                <w:rFonts w:ascii="宋体" w:hAnsi="宋体"/>
                <w:bCs/>
                <w:kern w:val="0"/>
                <w:sz w:val="22"/>
                <w:szCs w:val="22"/>
              </w:rPr>
            </w:pPr>
            <w:r>
              <w:rPr>
                <w:rFonts w:hint="eastAsia" w:ascii="宋体" w:hAnsi="宋体"/>
                <w:bCs/>
                <w:kern w:val="0"/>
                <w:sz w:val="22"/>
                <w:szCs w:val="22"/>
                <w:lang w:val="en-US" w:eastAsia="zh-CN"/>
              </w:rPr>
              <w:t>5</w:t>
            </w:r>
            <w:r>
              <w:rPr>
                <w:rFonts w:hint="eastAsia" w:ascii="宋体" w:hAnsi="宋体"/>
                <w:bCs/>
                <w:kern w:val="0"/>
                <w:sz w:val="22"/>
                <w:szCs w:val="22"/>
              </w:rPr>
              <w:t>、支持在不停机情况下</w:t>
            </w:r>
            <w:r>
              <w:rPr>
                <w:rFonts w:hint="eastAsia" w:ascii="宋体" w:hAnsi="宋体"/>
                <w:bCs/>
                <w:color w:val="auto"/>
                <w:kern w:val="0"/>
                <w:sz w:val="22"/>
                <w:szCs w:val="22"/>
              </w:rPr>
              <w:t>，向集群中添加存储节点，实现业务不中断情况下扩充容量和性能。集群支持节点数≥4096个；</w:t>
            </w:r>
          </w:p>
          <w:p w14:paraId="005EFD5D">
            <w:r>
              <w:rPr>
                <w:rFonts w:hint="eastAsia" w:ascii="宋体" w:hAnsi="宋体"/>
                <w:bCs/>
                <w:kern w:val="0"/>
                <w:sz w:val="22"/>
                <w:szCs w:val="22"/>
              </w:rPr>
              <w:t>▲</w:t>
            </w:r>
            <w:r>
              <w:rPr>
                <w:rFonts w:hint="eastAsia" w:ascii="宋体" w:hAnsi="宋体"/>
                <w:bCs/>
                <w:kern w:val="0"/>
                <w:sz w:val="22"/>
                <w:szCs w:val="22"/>
                <w:lang w:val="en-US" w:eastAsia="zh-CN"/>
              </w:rPr>
              <w:t>6</w:t>
            </w:r>
            <w:r>
              <w:rPr>
                <w:rFonts w:hint="eastAsia" w:ascii="宋体" w:hAnsi="宋体"/>
                <w:bCs/>
                <w:kern w:val="0"/>
                <w:sz w:val="22"/>
                <w:szCs w:val="22"/>
              </w:rPr>
              <w:t>、配置目录级快照功能，可按时间点策略进行快照，支持快照数≥1000个。支持快照重命名功能，支持删除快照链上任意快照点，支持文件数据回滚；（需提供产品功能截图）</w:t>
            </w:r>
          </w:p>
          <w:p w14:paraId="655E3F07">
            <w:pPr>
              <w:widowControl/>
              <w:jc w:val="left"/>
            </w:pPr>
            <w:r>
              <w:rPr>
                <w:rFonts w:hint="eastAsia" w:ascii="宋体" w:hAnsi="宋体"/>
                <w:bCs/>
                <w:kern w:val="0"/>
                <w:sz w:val="22"/>
                <w:szCs w:val="22"/>
              </w:rPr>
              <w:t>▲</w:t>
            </w:r>
            <w:r>
              <w:rPr>
                <w:rFonts w:hint="eastAsia" w:ascii="宋体" w:hAnsi="宋体"/>
                <w:bCs/>
                <w:kern w:val="0"/>
                <w:sz w:val="22"/>
                <w:szCs w:val="22"/>
                <w:lang w:val="en-US" w:eastAsia="zh-CN"/>
              </w:rPr>
              <w:t>7</w:t>
            </w:r>
            <w:r>
              <w:rPr>
                <w:rFonts w:hint="eastAsia" w:ascii="宋体" w:hAnsi="宋体"/>
                <w:bCs/>
                <w:kern w:val="0"/>
                <w:sz w:val="22"/>
                <w:szCs w:val="22"/>
              </w:rPr>
              <w:t>、支持一键检测功能，支持用户自行检测系统运行状态、系统配置，检测包括CPU、内存、硬盘、网口等硬件健康问题，并针对问题能够提出解决推荐办法；（需提供产品功能截图）</w:t>
            </w:r>
          </w:p>
          <w:p w14:paraId="4156AF98">
            <w:pPr>
              <w:widowControl/>
              <w:jc w:val="left"/>
              <w:rPr>
                <w:rFonts w:ascii="宋体" w:hAnsi="宋体"/>
                <w:bCs/>
                <w:kern w:val="0"/>
                <w:sz w:val="22"/>
                <w:szCs w:val="22"/>
              </w:rPr>
            </w:pPr>
            <w:r>
              <w:rPr>
                <w:rFonts w:hint="eastAsia" w:ascii="宋体" w:hAnsi="宋体"/>
                <w:bCs/>
                <w:kern w:val="0"/>
                <w:sz w:val="22"/>
                <w:szCs w:val="22"/>
                <w:lang w:val="en-US" w:eastAsia="zh-CN"/>
              </w:rPr>
              <w:t>8</w:t>
            </w:r>
            <w:r>
              <w:rPr>
                <w:rFonts w:hint="eastAsia" w:ascii="宋体" w:hAnsi="宋体"/>
                <w:bCs/>
                <w:kern w:val="0"/>
                <w:sz w:val="22"/>
                <w:szCs w:val="22"/>
              </w:rPr>
              <w:t>、为降低数据长期保存成本，文件存储应提供数据缩减的能力，支持无损压缩，支持对文件目录为单位配置数据压缩策略可选择节省容量优先和性能优先两种策略，并支持查看压缩的数据量与压缩率；</w:t>
            </w:r>
          </w:p>
          <w:p w14:paraId="57116C78">
            <w:pPr>
              <w:widowControl/>
              <w:jc w:val="left"/>
              <w:rPr>
                <w:rFonts w:ascii="宋体" w:hAnsi="宋体"/>
                <w:bCs/>
                <w:kern w:val="0"/>
                <w:sz w:val="22"/>
                <w:szCs w:val="22"/>
              </w:rPr>
            </w:pPr>
            <w:r>
              <w:rPr>
                <w:rFonts w:hint="eastAsia" w:ascii="宋体" w:hAnsi="宋体"/>
                <w:bCs/>
                <w:kern w:val="0"/>
                <w:sz w:val="22"/>
                <w:szCs w:val="22"/>
              </w:rPr>
              <w:t>▲</w:t>
            </w:r>
            <w:r>
              <w:rPr>
                <w:rFonts w:hint="eastAsia" w:ascii="宋体" w:hAnsi="宋体"/>
                <w:bCs/>
                <w:kern w:val="0"/>
                <w:sz w:val="22"/>
                <w:szCs w:val="22"/>
                <w:lang w:val="en-US" w:eastAsia="zh-CN"/>
              </w:rPr>
              <w:t>9</w:t>
            </w:r>
            <w:r>
              <w:rPr>
                <w:rFonts w:hint="eastAsia" w:ascii="宋体" w:hAnsi="宋体"/>
                <w:bCs/>
                <w:kern w:val="0"/>
                <w:sz w:val="22"/>
                <w:szCs w:val="22"/>
              </w:rPr>
              <w:t>、为提升业务访问性能，所投存储产品应支持在本地部署专有加速客户端，提供数据本地化读写加速能力，缩短数据IO路径</w:t>
            </w:r>
            <w:r>
              <w:rPr>
                <w:rStyle w:val="7"/>
                <w:rFonts w:hint="eastAsia"/>
              </w:rPr>
              <w:t>，投标时须提供国家认可的第三方检测机构出具的CMA检测报告复印件并加盖公章；</w:t>
            </w:r>
          </w:p>
          <w:p w14:paraId="7DF3ADDD">
            <w:pPr>
              <w:widowControl/>
              <w:jc w:val="left"/>
              <w:rPr>
                <w:rFonts w:ascii="宋体" w:hAnsi="宋体"/>
                <w:bCs/>
                <w:kern w:val="0"/>
                <w:sz w:val="22"/>
                <w:szCs w:val="22"/>
              </w:rPr>
            </w:pPr>
            <w:r>
              <w:rPr>
                <w:rFonts w:hint="eastAsia" w:ascii="宋体" w:hAnsi="宋体"/>
                <w:bCs/>
                <w:kern w:val="0"/>
                <w:sz w:val="22"/>
                <w:szCs w:val="22"/>
              </w:rPr>
              <w:t>1</w:t>
            </w:r>
            <w:r>
              <w:rPr>
                <w:rFonts w:hint="eastAsia" w:ascii="宋体" w:hAnsi="宋体"/>
                <w:bCs/>
                <w:kern w:val="0"/>
                <w:sz w:val="22"/>
                <w:szCs w:val="22"/>
                <w:lang w:val="en-US" w:eastAsia="zh-CN"/>
              </w:rPr>
              <w:t>0</w:t>
            </w:r>
            <w:r>
              <w:rPr>
                <w:rFonts w:hint="eastAsia" w:ascii="宋体" w:hAnsi="宋体"/>
                <w:bCs/>
                <w:kern w:val="0"/>
                <w:sz w:val="22"/>
                <w:szCs w:val="22"/>
              </w:rPr>
              <w:t>、数据自动平衡，无需中断业务，支持在设定时间内自动进行数据热平衡，实现集群内各个磁盘容量可以均衡利用，同时支持智能限速，自动感知业务IO，智能调整非业务流量，保证业务正常运行；</w:t>
            </w:r>
          </w:p>
          <w:p w14:paraId="52280C52">
            <w:pPr>
              <w:widowControl/>
              <w:jc w:val="left"/>
              <w:rPr>
                <w:rFonts w:ascii="宋体" w:hAnsi="宋体"/>
                <w:bCs/>
                <w:kern w:val="0"/>
                <w:sz w:val="22"/>
                <w:szCs w:val="22"/>
              </w:rPr>
            </w:pPr>
            <w:r>
              <w:rPr>
                <w:rFonts w:hint="eastAsia" w:ascii="宋体" w:hAnsi="宋体"/>
                <w:bCs/>
                <w:kern w:val="0"/>
                <w:sz w:val="22"/>
                <w:szCs w:val="22"/>
              </w:rPr>
              <w:t>1</w:t>
            </w:r>
            <w:r>
              <w:rPr>
                <w:rFonts w:hint="eastAsia" w:ascii="宋体" w:hAnsi="宋体"/>
                <w:bCs/>
                <w:kern w:val="0"/>
                <w:sz w:val="22"/>
                <w:szCs w:val="22"/>
                <w:lang w:val="en-US" w:eastAsia="zh-CN"/>
              </w:rPr>
              <w:t>1</w:t>
            </w:r>
            <w:r>
              <w:rPr>
                <w:rFonts w:hint="eastAsia" w:ascii="宋体" w:hAnsi="宋体"/>
                <w:bCs/>
                <w:kern w:val="0"/>
                <w:sz w:val="22"/>
                <w:szCs w:val="22"/>
              </w:rPr>
              <w:t>、支持对数据预读功能，将热点数据预读至缓存层，从而提升读性能。</w:t>
            </w:r>
          </w:p>
          <w:p w14:paraId="67E43696">
            <w:pPr>
              <w:widowControl/>
              <w:jc w:val="left"/>
            </w:pPr>
            <w:r>
              <w:rPr>
                <w:rFonts w:hint="eastAsia" w:ascii="宋体" w:hAnsi="宋体"/>
                <w:bCs/>
                <w:kern w:val="0"/>
                <w:sz w:val="22"/>
                <w:szCs w:val="22"/>
              </w:rPr>
              <w:t>▲1</w:t>
            </w:r>
            <w:r>
              <w:rPr>
                <w:rFonts w:hint="eastAsia" w:ascii="宋体" w:hAnsi="宋体"/>
                <w:bCs/>
                <w:kern w:val="0"/>
                <w:sz w:val="22"/>
                <w:szCs w:val="22"/>
                <w:lang w:val="en-US" w:eastAsia="zh-CN"/>
              </w:rPr>
              <w:t>2</w:t>
            </w:r>
            <w:r>
              <w:rPr>
                <w:rFonts w:hint="eastAsia" w:ascii="宋体" w:hAnsi="宋体"/>
                <w:bCs/>
                <w:kern w:val="0"/>
                <w:sz w:val="22"/>
                <w:szCs w:val="22"/>
              </w:rPr>
              <w:t>、存储策略，支持以LUN为粒度配置副本数、分层QOS、条带数等存储策略，以实现在性能、成本，可靠性等指标上的平衡兼顾；（需提供产品功能截图）</w:t>
            </w:r>
          </w:p>
          <w:p w14:paraId="2BDEC27C">
            <w:pPr>
              <w:widowControl/>
              <w:jc w:val="left"/>
              <w:rPr>
                <w:rFonts w:ascii="宋体" w:hAnsi="宋体"/>
                <w:bCs/>
                <w:color w:val="auto"/>
                <w:kern w:val="0"/>
                <w:sz w:val="22"/>
                <w:szCs w:val="22"/>
              </w:rPr>
            </w:pPr>
            <w:r>
              <w:rPr>
                <w:rFonts w:hint="eastAsia" w:ascii="宋体" w:hAnsi="宋体"/>
                <w:bCs/>
                <w:kern w:val="0"/>
                <w:sz w:val="22"/>
                <w:szCs w:val="22"/>
              </w:rPr>
              <w:t>1</w:t>
            </w:r>
            <w:r>
              <w:rPr>
                <w:rFonts w:hint="eastAsia" w:ascii="宋体" w:hAnsi="宋体"/>
                <w:bCs/>
                <w:kern w:val="0"/>
                <w:sz w:val="22"/>
                <w:szCs w:val="22"/>
                <w:lang w:val="en-US" w:eastAsia="zh-CN"/>
              </w:rPr>
              <w:t>3</w:t>
            </w:r>
            <w:r>
              <w:rPr>
                <w:rFonts w:hint="eastAsia" w:ascii="宋体" w:hAnsi="宋体"/>
                <w:bCs/>
                <w:kern w:val="0"/>
                <w:sz w:val="22"/>
                <w:szCs w:val="22"/>
              </w:rPr>
              <w:t>、块存储混闪配置（缓存层采用SSD ，</w:t>
            </w:r>
            <w:r>
              <w:rPr>
                <w:rFonts w:hint="eastAsia" w:ascii="宋体" w:hAnsi="宋体"/>
                <w:bCs/>
                <w:color w:val="auto"/>
                <w:kern w:val="0"/>
                <w:sz w:val="22"/>
                <w:szCs w:val="22"/>
              </w:rPr>
              <w:t>容量层采用HDD）在≤2ms稳定时延下，单节点可提供≥15万IOPS，集群扩容可实现线性增长，三节点集群满足≥50万以上IOPS处理能力；</w:t>
            </w:r>
          </w:p>
          <w:p w14:paraId="08CA6F2D">
            <w:pPr>
              <w:widowControl/>
              <w:jc w:val="left"/>
              <w:rPr>
                <w:rFonts w:ascii="宋体" w:hAnsi="宋体"/>
                <w:bCs/>
                <w:kern w:val="0"/>
                <w:sz w:val="22"/>
                <w:szCs w:val="22"/>
              </w:rPr>
            </w:pPr>
            <w:r>
              <w:rPr>
                <w:rFonts w:hint="eastAsia" w:ascii="宋体" w:hAnsi="宋体"/>
                <w:bCs/>
                <w:kern w:val="0"/>
                <w:sz w:val="22"/>
                <w:szCs w:val="22"/>
              </w:rPr>
              <w:t>1</w:t>
            </w:r>
            <w:r>
              <w:rPr>
                <w:rFonts w:hint="eastAsia" w:ascii="宋体" w:hAnsi="宋体"/>
                <w:bCs/>
                <w:kern w:val="0"/>
                <w:sz w:val="22"/>
                <w:szCs w:val="22"/>
                <w:lang w:val="en-US" w:eastAsia="zh-CN"/>
              </w:rPr>
              <w:t>4</w:t>
            </w:r>
            <w:r>
              <w:rPr>
                <w:rFonts w:hint="eastAsia" w:ascii="宋体" w:hAnsi="宋体"/>
                <w:bCs/>
                <w:kern w:val="0"/>
                <w:sz w:val="22"/>
                <w:szCs w:val="22"/>
              </w:rPr>
              <w:t>、为降低硬件替换及维护过程中的数据丢失及业务中断风险，所投产品需支持磁盘维护模式能力，系统管理员可根据业务需求选择【效率优先】模式或【安全优先】模式；</w:t>
            </w:r>
          </w:p>
          <w:p w14:paraId="546011D5">
            <w:pPr>
              <w:rPr>
                <w:rFonts w:ascii="宋体" w:hAnsi="宋体"/>
                <w:bCs/>
                <w:color w:val="auto"/>
                <w:kern w:val="0"/>
                <w:sz w:val="22"/>
                <w:szCs w:val="22"/>
              </w:rPr>
            </w:pPr>
            <w:r>
              <w:rPr>
                <w:rFonts w:hint="eastAsia" w:ascii="宋体" w:hAnsi="宋体"/>
                <w:bCs/>
                <w:kern w:val="0"/>
                <w:sz w:val="22"/>
                <w:szCs w:val="22"/>
              </w:rPr>
              <w:t>▲1</w:t>
            </w:r>
            <w:r>
              <w:rPr>
                <w:rFonts w:hint="eastAsia" w:ascii="宋体" w:hAnsi="宋体"/>
                <w:bCs/>
                <w:kern w:val="0"/>
                <w:sz w:val="22"/>
                <w:szCs w:val="22"/>
                <w:lang w:val="en-US" w:eastAsia="zh-CN"/>
              </w:rPr>
              <w:t>5</w:t>
            </w:r>
            <w:r>
              <w:rPr>
                <w:rFonts w:hint="eastAsia" w:ascii="宋体" w:hAnsi="宋体"/>
                <w:bCs/>
                <w:kern w:val="0"/>
                <w:sz w:val="22"/>
                <w:szCs w:val="22"/>
              </w:rPr>
              <w:t>、支持以文件目录为单位对存储性能进行监控，对共享目录的带宽、时延、OPS、元数据OPS、元数据时延等指标进行可视化操作与趋势跟踪，能有效支持对业务问题的溯源排查</w:t>
            </w:r>
            <w:r>
              <w:rPr>
                <w:rStyle w:val="7"/>
                <w:rFonts w:hint="eastAsia"/>
              </w:rPr>
              <w:t>，投标时须提供国家认可的第三方检测机构出具的CMA检测报告复印件并加盖公章；</w:t>
            </w:r>
          </w:p>
          <w:p w14:paraId="1815FAC8">
            <w:pPr>
              <w:widowControl/>
              <w:jc w:val="left"/>
              <w:rPr>
                <w:rFonts w:ascii="宋体" w:hAnsi="宋体"/>
                <w:bCs/>
                <w:color w:val="auto"/>
                <w:kern w:val="0"/>
                <w:sz w:val="22"/>
                <w:szCs w:val="22"/>
              </w:rPr>
            </w:pPr>
            <w:r>
              <w:rPr>
                <w:rFonts w:hint="eastAsia" w:ascii="宋体" w:hAnsi="宋体"/>
                <w:bCs/>
                <w:color w:val="auto"/>
                <w:kern w:val="0"/>
                <w:sz w:val="22"/>
                <w:szCs w:val="22"/>
              </w:rPr>
              <w:t>1</w:t>
            </w:r>
            <w:r>
              <w:rPr>
                <w:rFonts w:hint="eastAsia" w:ascii="宋体" w:hAnsi="宋体"/>
                <w:bCs/>
                <w:color w:val="auto"/>
                <w:kern w:val="0"/>
                <w:sz w:val="22"/>
                <w:szCs w:val="22"/>
                <w:lang w:val="en-US" w:eastAsia="zh-CN"/>
              </w:rPr>
              <w:t>6</w:t>
            </w:r>
            <w:r>
              <w:rPr>
                <w:rFonts w:hint="eastAsia" w:ascii="宋体" w:hAnsi="宋体"/>
                <w:bCs/>
                <w:color w:val="auto"/>
                <w:kern w:val="0"/>
                <w:sz w:val="22"/>
                <w:szCs w:val="22"/>
              </w:rPr>
              <w:t>、文件存储要求3节点小文件4K读IOPS≥13万，写IOPS≥9万；支持对象行为审计功能，用于记录客户如上传、下载等常规对象操作行为；</w:t>
            </w:r>
          </w:p>
          <w:p w14:paraId="57134A45">
            <w:pPr>
              <w:widowControl/>
              <w:jc w:val="left"/>
              <w:rPr>
                <w:rFonts w:ascii="宋体" w:hAnsi="宋体"/>
                <w:bCs/>
                <w:kern w:val="0"/>
                <w:sz w:val="22"/>
                <w:szCs w:val="22"/>
              </w:rPr>
            </w:pPr>
            <w:r>
              <w:rPr>
                <w:rFonts w:hint="eastAsia" w:ascii="宋体" w:hAnsi="宋体"/>
                <w:bCs/>
                <w:kern w:val="0"/>
                <w:sz w:val="22"/>
                <w:szCs w:val="22"/>
                <w:lang w:val="en-US" w:eastAsia="zh-CN"/>
              </w:rPr>
              <w:t>17</w:t>
            </w:r>
            <w:r>
              <w:rPr>
                <w:rFonts w:hint="eastAsia" w:ascii="宋体" w:hAnsi="宋体"/>
                <w:bCs/>
                <w:kern w:val="0"/>
                <w:sz w:val="22"/>
                <w:szCs w:val="22"/>
              </w:rPr>
              <w:t>、为了简化管理，需要支持存储拓扑功能，展示块存储当前授权服务器和LUN之间的对应关系方便用户查看以及故障定位；</w:t>
            </w:r>
          </w:p>
          <w:p w14:paraId="0979A8A7">
            <w:r>
              <w:rPr>
                <w:rFonts w:hint="eastAsia" w:ascii="宋体" w:hAnsi="宋体"/>
                <w:bCs/>
                <w:kern w:val="0"/>
                <w:sz w:val="22"/>
                <w:szCs w:val="22"/>
              </w:rPr>
              <w:t>▲</w:t>
            </w:r>
            <w:r>
              <w:rPr>
                <w:rFonts w:hint="eastAsia" w:ascii="宋体" w:hAnsi="宋体"/>
                <w:bCs/>
                <w:kern w:val="0"/>
                <w:sz w:val="22"/>
                <w:szCs w:val="22"/>
                <w:lang w:val="en-US" w:eastAsia="zh-CN"/>
              </w:rPr>
              <w:t>18</w:t>
            </w:r>
            <w:r>
              <w:rPr>
                <w:rFonts w:hint="eastAsia" w:ascii="宋体" w:hAnsi="宋体"/>
                <w:bCs/>
                <w:kern w:val="0"/>
                <w:sz w:val="22"/>
                <w:szCs w:val="22"/>
              </w:rPr>
              <w:t>、为降低数据长期保存成本，对象存储应提供数据压缩能力，支持以桶为单位配置数据压缩策略，可选择节省容量优先和性能优先两种策略，并支持查看压缩的数据量与压缩率</w:t>
            </w:r>
            <w:r>
              <w:rPr>
                <w:rStyle w:val="7"/>
                <w:rFonts w:hint="eastAsia"/>
              </w:rPr>
              <w:t>，投标时须提供国家认可的第三方检测机构出具的CMA</w:t>
            </w:r>
            <w:r>
              <w:rPr>
                <w:rFonts w:hint="eastAsia"/>
              </w:rPr>
              <w:t>或CNAS</w:t>
            </w:r>
            <w:r>
              <w:rPr>
                <w:rStyle w:val="7"/>
                <w:rFonts w:hint="eastAsia"/>
              </w:rPr>
              <w:t>检测报告复印件并加盖公章；</w:t>
            </w:r>
          </w:p>
          <w:p w14:paraId="27F69DB4">
            <w:pPr>
              <w:widowControl/>
              <w:jc w:val="left"/>
              <w:rPr>
                <w:rFonts w:ascii="宋体" w:hAnsi="宋体"/>
                <w:bCs/>
                <w:kern w:val="0"/>
                <w:sz w:val="22"/>
                <w:szCs w:val="22"/>
              </w:rPr>
            </w:pPr>
            <w:r>
              <w:rPr>
                <w:rFonts w:hint="eastAsia" w:ascii="宋体" w:hAnsi="宋体"/>
                <w:bCs/>
                <w:kern w:val="0"/>
                <w:sz w:val="22"/>
                <w:szCs w:val="22"/>
                <w:lang w:val="en-US" w:eastAsia="zh-CN"/>
              </w:rPr>
              <w:t>19</w:t>
            </w:r>
            <w:r>
              <w:rPr>
                <w:rFonts w:hint="eastAsia" w:ascii="宋体" w:hAnsi="宋体"/>
                <w:bCs/>
                <w:kern w:val="0"/>
                <w:sz w:val="22"/>
                <w:szCs w:val="22"/>
              </w:rPr>
              <w:t>、支持设置访问黑白名单，允许或禁止在名单内的客户端IP地址对共享目录的访问；</w:t>
            </w:r>
            <w:bookmarkStart w:id="7" w:name="_GoBack"/>
            <w:bookmarkEnd w:id="7"/>
          </w:p>
          <w:p w14:paraId="481CE846">
            <w:pPr>
              <w:widowControl/>
              <w:jc w:val="left"/>
              <w:rPr>
                <w:rFonts w:ascii="宋体" w:hAnsi="宋体"/>
                <w:bCs/>
                <w:kern w:val="0"/>
                <w:sz w:val="22"/>
                <w:szCs w:val="22"/>
              </w:rPr>
            </w:pPr>
            <w:r>
              <w:rPr>
                <w:rFonts w:hint="eastAsia" w:ascii="宋体" w:hAnsi="宋体"/>
                <w:bCs/>
                <w:kern w:val="0"/>
                <w:sz w:val="22"/>
                <w:szCs w:val="22"/>
              </w:rPr>
              <w:t>2</w:t>
            </w:r>
            <w:r>
              <w:rPr>
                <w:rFonts w:hint="eastAsia" w:ascii="宋体" w:hAnsi="宋体"/>
                <w:bCs/>
                <w:kern w:val="0"/>
                <w:sz w:val="22"/>
                <w:szCs w:val="22"/>
                <w:lang w:val="en-US" w:eastAsia="zh-CN"/>
              </w:rPr>
              <w:t>0</w:t>
            </w:r>
            <w:r>
              <w:rPr>
                <w:rFonts w:hint="eastAsia" w:ascii="宋体" w:hAnsi="宋体"/>
                <w:bCs/>
                <w:kern w:val="0"/>
                <w:sz w:val="22"/>
                <w:szCs w:val="22"/>
              </w:rPr>
              <w:t>、支持文件审计功能，通过该功能可以在管理平台方便的过滤文件创建、删除及元数据修改相关操作的日志，从而在文件状态出现异常时，可以通过此功能进行追溯;</w:t>
            </w:r>
          </w:p>
          <w:p w14:paraId="424E6B94">
            <w:pPr>
              <w:widowControl/>
              <w:jc w:val="left"/>
              <w:rPr>
                <w:rFonts w:ascii="宋体" w:hAnsi="宋体"/>
                <w:bCs/>
                <w:kern w:val="0"/>
                <w:sz w:val="22"/>
                <w:szCs w:val="22"/>
              </w:rPr>
            </w:pPr>
            <w:r>
              <w:rPr>
                <w:rFonts w:hint="eastAsia" w:ascii="宋体" w:hAnsi="宋体"/>
                <w:bCs/>
                <w:kern w:val="0"/>
                <w:sz w:val="22"/>
                <w:szCs w:val="22"/>
              </w:rPr>
              <w:t>▲2</w:t>
            </w:r>
            <w:r>
              <w:rPr>
                <w:rFonts w:hint="eastAsia" w:ascii="宋体" w:hAnsi="宋体"/>
                <w:bCs/>
                <w:kern w:val="0"/>
                <w:sz w:val="22"/>
                <w:szCs w:val="22"/>
                <w:lang w:val="en-US" w:eastAsia="zh-CN"/>
              </w:rPr>
              <w:t>1</w:t>
            </w:r>
            <w:r>
              <w:rPr>
                <w:rFonts w:hint="eastAsia" w:ascii="宋体" w:hAnsi="宋体"/>
                <w:bCs/>
                <w:kern w:val="0"/>
                <w:sz w:val="22"/>
                <w:szCs w:val="22"/>
              </w:rPr>
              <w:t>、支持查看文件系统客户端（CIFS/NFS/FTP）的连接个数，以及每个连接的具体信息（客户端地址、对应的存储节点地址、带宽、OPS、时延、元数据OPS、元数据时延），便于管理员查看客户端的接入情况，识别访问热点及快速定位业务访问故障，</w:t>
            </w:r>
            <w:r>
              <w:rPr>
                <w:rStyle w:val="7"/>
                <w:rFonts w:hint="eastAsia"/>
              </w:rPr>
              <w:t>投标时须提供国家认可的第三方检测机构出具的CMA检测报告复印件并加盖公章</w:t>
            </w:r>
            <w:r>
              <w:rPr>
                <w:rFonts w:hint="eastAsia" w:ascii="宋体" w:hAnsi="宋体"/>
                <w:bCs/>
                <w:kern w:val="0"/>
                <w:sz w:val="22"/>
                <w:szCs w:val="22"/>
              </w:rPr>
              <w:t>。</w:t>
            </w:r>
          </w:p>
        </w:tc>
      </w:tr>
    </w:tbl>
    <w:p w14:paraId="3E6F1D8A">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三、集成要求</w:t>
      </w:r>
    </w:p>
    <w:p w14:paraId="0646CC77">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1、根据采购方实际需求完成软硬件系统整体规划及软硬件安装实施服务。</w:t>
      </w:r>
    </w:p>
    <w:p w14:paraId="5A05765A">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2、根据采购方实际需求完成双活存储扩容实施，保证业务连续性及数据安全性。</w:t>
      </w:r>
    </w:p>
    <w:p w14:paraId="00FDE652">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3、完成采购方整体SAN网络规划及替换Cisco交换机割接规划及实施部署。</w:t>
      </w:r>
    </w:p>
    <w:p w14:paraId="6EDB77C8">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4、根据采购方实际需求，完成HIS数据库CDP规划及实施。</w:t>
      </w:r>
    </w:p>
    <w:p w14:paraId="65699688">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5、根据采购方实际需求完成采购方核心业务灾备规划及实施</w:t>
      </w:r>
    </w:p>
    <w:p w14:paraId="6A332B67">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6、完成采购方核心业务系统迁移实施及硬件设备搬迁，灾备系统部署实施。</w:t>
      </w:r>
    </w:p>
    <w:p w14:paraId="1249D648">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7、完成本次采购软硬件的系统集成及联调实施服务。</w:t>
      </w:r>
    </w:p>
    <w:p w14:paraId="09E0B448">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四、商务要求</w:t>
      </w:r>
    </w:p>
    <w:p w14:paraId="3810D92D">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1、交付时间：</w:t>
      </w:r>
      <w:r>
        <w:rPr>
          <w:rFonts w:hint="eastAsia" w:ascii="宋体" w:hAnsi="宋体"/>
          <w:color w:val="auto"/>
          <w:sz w:val="24"/>
          <w:highlight w:val="none"/>
        </w:rPr>
        <w:t>合同签订后</w:t>
      </w:r>
      <w:r>
        <w:rPr>
          <w:rFonts w:hint="eastAsia" w:ascii="宋体" w:hAnsi="宋体"/>
          <w:color w:val="auto"/>
          <w:sz w:val="24"/>
          <w:highlight w:val="none"/>
          <w:lang w:val="en-US" w:eastAsia="zh-CN"/>
        </w:rPr>
        <w:t>45</w:t>
      </w:r>
      <w:r>
        <w:rPr>
          <w:rFonts w:hint="eastAsia" w:ascii="宋体" w:hAnsi="宋体"/>
          <w:color w:val="auto"/>
          <w:sz w:val="24"/>
          <w:highlight w:val="none"/>
        </w:rPr>
        <w:t>天内交货且安装调试完毕交付使用</w:t>
      </w:r>
      <w:r>
        <w:rPr>
          <w:rFonts w:hint="eastAsia" w:ascii="宋体" w:hAnsi="宋体"/>
          <w:sz w:val="24"/>
        </w:rPr>
        <w:t>。</w:t>
      </w:r>
    </w:p>
    <w:p w14:paraId="568E714D">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2、交付地点：海南省海口市龙华区龙华路31号海南医科大学第一附属医院或采购方指定地点。</w:t>
      </w:r>
    </w:p>
    <w:p w14:paraId="5B673A4C">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u w:val="single"/>
        </w:rPr>
      </w:pPr>
      <w:r>
        <w:rPr>
          <w:rFonts w:hint="eastAsia" w:ascii="宋体" w:hAnsi="宋体"/>
          <w:sz w:val="24"/>
        </w:rPr>
        <w:t>3、</w:t>
      </w:r>
      <w:r>
        <w:rPr>
          <w:rFonts w:hint="eastAsia" w:ascii="Times New Roman" w:hAnsi="Times New Roman" w:cs="Times New Roman"/>
          <w:sz w:val="24"/>
        </w:rPr>
        <w:t>本项目为交付设备承包项目，中标供应商承包及负责招标文件对中标供应商要求的一切事宜及责任。包括</w:t>
      </w:r>
      <w:r>
        <w:rPr>
          <w:rFonts w:hint="eastAsia" w:ascii="Times New Roman" w:hAnsi="Times New Roman" w:cs="Times New Roman"/>
          <w:color w:val="C00000"/>
          <w:sz w:val="24"/>
          <w:lang w:val="en-US" w:eastAsia="zh-CN"/>
        </w:rPr>
        <w:t>但不限于</w:t>
      </w:r>
      <w:r>
        <w:rPr>
          <w:rFonts w:hint="eastAsia" w:ascii="Times New Roman" w:hAnsi="Times New Roman" w:cs="Times New Roman"/>
          <w:sz w:val="24"/>
        </w:rPr>
        <w:t>项目产品供货（货物到达安装现场的运输、装卸及搬运，由供方完成；货物到达安装现场前，采购人不予签收，若因此与物流公司产生纠纷，由供方自行解决）、配套设备提供、运输、保管、安装、调试、验收、培训及相关服务等以及投标人认为必要的其他货物、材料、工程、服务；投标人应自行增加系统正常、合法、安全运行及使用所必需但招标文件没有包含的所有设备、版权、专利等一切费用，如果投标人在中标并签署合同后，在供货、安装、调试、培训等工作中出现货物的任何遗漏，均由中标供应商免费提供，买方将不再支付任何费用。</w:t>
      </w:r>
    </w:p>
    <w:p w14:paraId="35421D6B">
      <w:pPr>
        <w:keepNext w:val="0"/>
        <w:keepLines w:val="0"/>
        <w:pageBreakBefore w:val="0"/>
        <w:widowControl w:val="0"/>
        <w:kinsoku/>
        <w:wordWrap w:val="0"/>
        <w:overflowPunct/>
        <w:topLinePunct/>
        <w:autoSpaceDE/>
        <w:autoSpaceDN/>
        <w:bidi w:val="0"/>
        <w:adjustRightInd/>
        <w:snapToGrid/>
        <w:spacing w:line="500" w:lineRule="exact"/>
        <w:ind w:firstLine="480" w:firstLineChars="200"/>
        <w:textAlignment w:val="auto"/>
        <w:rPr>
          <w:rFonts w:ascii="Times New Roman" w:hAnsi="Times New Roman" w:cs="Times New Roman"/>
          <w:sz w:val="24"/>
        </w:rPr>
      </w:pPr>
      <w:r>
        <w:rPr>
          <w:rFonts w:hint="eastAsia" w:ascii="宋体" w:hAnsi="宋体"/>
          <w:sz w:val="24"/>
        </w:rPr>
        <w:t>4、</w:t>
      </w:r>
      <w:r>
        <w:rPr>
          <w:rFonts w:hint="eastAsia" w:ascii="Times New Roman" w:hAnsi="Times New Roman" w:cs="Times New Roman"/>
          <w:sz w:val="24"/>
        </w:rPr>
        <w:t>中标采购设备到达目的地，经安装、调试、技术培训后，中标供应商向业主提请设备验收。业主在接到中标供应商通知的5天内派人到现场负责组织验收，业主按中标供应商提供的仪器设备清单及检验产品合格证、使用说明书和其它的技术资料</w:t>
      </w:r>
      <w:r>
        <w:rPr>
          <w:rFonts w:hint="eastAsia" w:ascii="Times New Roman" w:hAnsi="Times New Roman" w:cs="Times New Roman"/>
          <w:color w:val="C00000"/>
          <w:sz w:val="24"/>
          <w:lang w:val="en-US" w:eastAsia="zh-CN"/>
        </w:rPr>
        <w:t>组织验收</w:t>
      </w:r>
      <w:r>
        <w:rPr>
          <w:rFonts w:hint="eastAsia" w:ascii="Times New Roman" w:hAnsi="Times New Roman" w:cs="Times New Roman"/>
          <w:sz w:val="24"/>
        </w:rPr>
        <w:t>。进口设备，除提供以上资料外，须会同海关、商检部门共同负责开箱检验、检查仪器设备及随机附件是否全新、完整无损，技术资料与图纸是否与业主的要求相符，可以通过逐一使用主要功能、对比、抽样检测、委托检测等方法对设备的技术指标和性能进行检测验收。所有指标应与投标文件一致或在招标文件允许的范围内并符合响应的国家或行业标准以及符合用户的使用要求。如有损坏、缺件、翻新等情况，应按款额赔偿。</w:t>
      </w:r>
    </w:p>
    <w:p w14:paraId="6274321A">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5、付款方法和条件：合同签订后7个工作日内，乙方向甲方提交合法有效的增值税发票及合同等相关凭证，甲方在收到相关凭证后30个工作日内向乙方支付合同总金额的30%；乙方产品到货安装调试，经甲方进行上线确认后开始试运行，试运行达到合同约定的性能指标进行项目验收，项目通过验收后，乙方向甲方提交合法有效的增值税发票、项目验收合格书及合同等相关凭证，甲方在收到相关凭证后30个工作日内向乙方支付合同总金额的65%；项目质保期满，经甲方确认设备运转正常且无任何质量、售后问题，甲方向乙方支付合同总金额的5%。</w:t>
      </w:r>
    </w:p>
    <w:p w14:paraId="1A6E8ECF">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因甲方财务预算、不可抗力等原因造成甲方逾期付款的，乙方表示理解，不视为甲方违约。乙方应按照本合同约定继续履行乙方义务。</w:t>
      </w:r>
    </w:p>
    <w:p w14:paraId="6FBBDE0A">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color w:val="auto"/>
          <w:sz w:val="24"/>
        </w:rPr>
      </w:pPr>
      <w:r>
        <w:rPr>
          <w:rFonts w:hint="eastAsia" w:ascii="宋体" w:hAnsi="宋体" w:eastAsia="宋体" w:cs="宋体"/>
          <w:bCs/>
          <w:color w:val="auto"/>
          <w:kern w:val="0"/>
          <w:sz w:val="24"/>
          <w:szCs w:val="24"/>
          <w:lang w:val="en-US" w:eastAsia="zh-CN"/>
        </w:rPr>
        <w:t>★</w:t>
      </w:r>
      <w:r>
        <w:rPr>
          <w:rFonts w:hint="eastAsia" w:ascii="宋体" w:hAnsi="宋体"/>
          <w:color w:val="auto"/>
          <w:sz w:val="24"/>
        </w:rPr>
        <w:t>6、质保要求：①质保期为自验收合格之日起三年以上</w:t>
      </w:r>
      <w:r>
        <w:rPr>
          <w:rFonts w:hint="eastAsia" w:ascii="Times New Roman" w:hAnsi="Times New Roman" w:cs="Times New Roman"/>
          <w:color w:val="auto"/>
          <w:sz w:val="24"/>
        </w:rPr>
        <w:t>（采购清单中免费保修期有特殊要求的按照采购清单中的为准；若厂家有超过期限免费保修期的按厂家方案执行）</w:t>
      </w:r>
      <w:r>
        <w:rPr>
          <w:rFonts w:hint="eastAsia" w:ascii="宋体" w:hAnsi="宋体"/>
          <w:color w:val="auto"/>
          <w:sz w:val="24"/>
        </w:rPr>
        <w:t>②质保期内供方应免费负责设备维修及抢修，维修响应速度为48小时内。③供方保证年开机率大于95％（按工作日计算），若≤95％则相应延长保修期。</w:t>
      </w:r>
    </w:p>
    <w:p w14:paraId="4E3608C8">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eastAsia="宋体" w:cs="宋体"/>
          <w:bCs/>
          <w:color w:val="auto"/>
          <w:kern w:val="0"/>
          <w:sz w:val="24"/>
          <w:szCs w:val="24"/>
          <w:lang w:val="en-US" w:eastAsia="zh-CN"/>
        </w:rPr>
        <w:t>★</w:t>
      </w:r>
      <w:r>
        <w:rPr>
          <w:rFonts w:hint="eastAsia" w:ascii="宋体" w:hAnsi="宋体"/>
          <w:color w:val="auto"/>
          <w:sz w:val="24"/>
        </w:rPr>
        <w:t>7、质量</w:t>
      </w:r>
      <w:r>
        <w:rPr>
          <w:rFonts w:hint="eastAsia" w:ascii="宋体" w:hAnsi="宋体"/>
          <w:sz w:val="24"/>
        </w:rPr>
        <w:t>和技术标准：①供方按合同附件配置清单要求的品牌型号、规格、价格提供产品。②供方保证以上设备主机及附件均为原厂生产产品；如含软件，保证所提供的所有软件为正版软件。③供方须提供设备厂家的出厂检验报告、合格证书（进口产品除外）、设备使用说明书、维修手册。④供方提供的产品如达不到合同约定的，需方可要求供方立即退货、换货、补货。对不符合质量要求的产品，需方有权拒绝接收，供方应对相应产品及时进行更换，不得影响需方的临床应用。本规定的执行不免除供方因产品质量产生的其他责任。</w:t>
      </w:r>
    </w:p>
    <w:p w14:paraId="26E37DC3">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8、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14:paraId="02ECDFB4">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9、售后服务：①提供有关资料及售后服务承诺书。②供方在国内应设有维修服务部门并提供24小时售后服务热线。③质保期后，供方应向用户提供及时的、优质的、价格优惠的技术服务和备品备件供应。</w:t>
      </w:r>
    </w:p>
    <w:p w14:paraId="0A51E1F4">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Times New Roman" w:hAnsi="Times New Roman" w:cs="Times New Roman"/>
          <w:sz w:val="24"/>
        </w:rPr>
      </w:pPr>
      <w:r>
        <w:rPr>
          <w:rFonts w:hint="eastAsia" w:ascii="宋体" w:hAnsi="宋体"/>
          <w:sz w:val="24"/>
        </w:rPr>
        <w:t>10.培训要求：提供相关的设备操作培训，必要时提供跟台操作培训，培训时间至少</w:t>
      </w:r>
      <w:r>
        <w:rPr>
          <w:rFonts w:hint="eastAsia" w:ascii="Times New Roman" w:hAnsi="Times New Roman" w:cs="Times New Roman"/>
          <w:sz w:val="24"/>
        </w:rPr>
        <w:t>5天；培训内容：产品的基本原理、结构、基本操作及维护知识，并指导用户进行操作，直到用户方使用人员可独立进行操作为止。</w:t>
      </w:r>
    </w:p>
    <w:p w14:paraId="182B8B97">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ascii="宋体" w:hAnsi="宋体"/>
          <w:sz w:val="24"/>
        </w:rPr>
      </w:pPr>
      <w:r>
        <w:rPr>
          <w:rFonts w:hint="eastAsia" w:ascii="宋体" w:hAnsi="宋体"/>
          <w:sz w:val="24"/>
        </w:rPr>
        <w:t>11.配套要求：如提供的设备配有专机专用的耗材，需说明相应的耗材名称、型号规格及价格。</w:t>
      </w:r>
    </w:p>
    <w:p w14:paraId="7F4A01AB">
      <w:pPr>
        <w:keepNext w:val="0"/>
        <w:keepLines w:val="0"/>
        <w:pageBreakBefore w:val="0"/>
        <w:widowControl w:val="0"/>
        <w:kinsoku/>
        <w:overflowPunct/>
        <w:autoSpaceDE/>
        <w:autoSpaceDN/>
        <w:bidi w:val="0"/>
        <w:adjustRightInd/>
        <w:snapToGrid/>
        <w:spacing w:line="500" w:lineRule="exact"/>
        <w:ind w:firstLine="480" w:firstLineChars="200"/>
        <w:jc w:val="left"/>
        <w:textAlignment w:val="auto"/>
        <w:rPr>
          <w:rFonts w:hint="eastAsia" w:ascii="宋体" w:hAnsi="宋体" w:eastAsia="宋体"/>
          <w:sz w:val="24"/>
          <w:lang w:eastAsia="zh-CN"/>
        </w:rPr>
      </w:pPr>
      <w:r>
        <w:rPr>
          <w:rFonts w:hint="eastAsia" w:ascii="宋体" w:hAnsi="宋体"/>
          <w:sz w:val="24"/>
        </w:rPr>
        <w:t>12.其他：配合需方进行场地装修、免费进行第三方设备或系统对接等相关事宜</w:t>
      </w:r>
      <w:r>
        <w:rPr>
          <w:rFonts w:hint="eastAsia" w:ascii="宋体" w:hAnsi="宋体"/>
          <w:sz w:val="24"/>
          <w:lang w:eastAsia="zh-CN"/>
        </w:rPr>
        <w:t>。</w:t>
      </w:r>
    </w:p>
    <w:p w14:paraId="718CAB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883845"/>
    <w:rsid w:val="2A366E4F"/>
    <w:rsid w:val="5A132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3">
    <w:name w:val="heading 2"/>
    <w:basedOn w:val="1"/>
    <w:next w:val="1"/>
    <w:unhideWhenUsed/>
    <w:qFormat/>
    <w:uiPriority w:val="9"/>
    <w:pPr>
      <w:keepNext/>
      <w:keepLines/>
      <w:spacing w:beforeAutospacing="1" w:afterAutospacing="1" w:line="360" w:lineRule="auto"/>
      <w:outlineLvl w:val="1"/>
    </w:pPr>
    <w:rPr>
      <w:rFonts w:eastAsia="黑体"/>
      <w:b/>
      <w:bCs/>
      <w:sz w:val="36"/>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4">
    <w:name w:val="annotation text"/>
    <w:basedOn w:val="1"/>
    <w:qFormat/>
    <w:uiPriority w:val="0"/>
    <w:pPr>
      <w:jc w:val="left"/>
    </w:pPr>
  </w:style>
  <w:style w:type="character" w:styleId="7">
    <w:name w:val="annotation reference"/>
    <w:basedOn w:val="6"/>
    <w:qFormat/>
    <w:uiPriority w:val="0"/>
    <w:rPr>
      <w:sz w:val="21"/>
      <w:szCs w:val="21"/>
    </w:rPr>
  </w:style>
  <w:style w:type="paragraph" w:customStyle="1" w:styleId="8">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7640</Words>
  <Characters>8516</Characters>
  <Lines>0</Lines>
  <Paragraphs>0</Paragraphs>
  <TotalTime>7</TotalTime>
  <ScaleCrop>false</ScaleCrop>
  <LinksUpToDate>false</LinksUpToDate>
  <CharactersWithSpaces>8581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2025-09-25T09:31:00Z</dcterms:created>
  <dc:creator>Administrator</dc:creator>
  <cp:lastModifiedBy>嘉言懿行</cp:lastModifiedBy>
  <dcterms:modified xsi:type="dcterms:W3CDTF">2025-09-25T09:56:02Z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eyJoZGlkIjoiYjhmMTA5MTAyYjVhYzljNGMyNWRhNmEwMjBkNDUxNDUiLCJ1c2VySWQiOiIxMDQ2MzY2NDQyIn0=</vt:lpwstr>
  </property>
  <property fmtid="{D5CDD505-2E9C-101B-9397-08002B2CF9AE}" pid="4" name="ICV">
    <vt:lpwstr>0E4655069E3445C5AA0F960EB7210508_12</vt:lpwstr>
  </property>
</Properties>
</file>